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1" w:rightFromText="141" w:vertAnchor="page" w:horzAnchor="margin" w:tblpXSpec="center" w:tblpY="698"/>
        <w:tblW w:w="103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07"/>
        <w:gridCol w:w="5142"/>
      </w:tblGrid>
      <w:tr w:rsidR="00EF54EA" w:rsidTr="00EF54EA">
        <w:tc>
          <w:tcPr>
            <w:tcW w:w="5207" w:type="dxa"/>
          </w:tcPr>
          <w:p w:rsidR="00EF54EA" w:rsidRDefault="00EF54EA" w:rsidP="00EF54EA">
            <w:pPr>
              <w:pStyle w:val="Rientrocorpodeltesto"/>
              <w:tabs>
                <w:tab w:val="clear" w:pos="567"/>
              </w:tabs>
              <w:spacing w:before="120"/>
              <w:ind w:left="0" w:right="126" w:firstLine="0"/>
              <w:jc w:val="center"/>
            </w:pPr>
            <w:r>
              <w:object w:dxaOrig="255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36pt" o:ole="">
                  <v:imagedata r:id="rId9" o:title=""/>
                </v:shape>
                <o:OLEObject Type="Embed" ProgID="MSPhotoEd.3" ShapeID="_x0000_i1025" DrawAspect="Content" ObjectID="_1510733583" r:id="rId10"/>
              </w:object>
            </w:r>
          </w:p>
          <w:p w:rsidR="00EF54EA" w:rsidRPr="00C76969" w:rsidRDefault="00EF54EA" w:rsidP="00EF54EA">
            <w:pPr>
              <w:pStyle w:val="Rientrocorpodeltesto"/>
              <w:tabs>
                <w:tab w:val="clear" w:pos="567"/>
              </w:tabs>
              <w:spacing w:before="120"/>
              <w:ind w:left="0" w:right="126" w:firstLine="0"/>
              <w:jc w:val="center"/>
              <w:rPr>
                <w:sz w:val="20"/>
              </w:rPr>
            </w:pPr>
            <w:r w:rsidRPr="00C76969">
              <w:rPr>
                <w:rFonts w:ascii="Arial" w:hAnsi="Arial" w:cs="Arial"/>
                <w:sz w:val="20"/>
              </w:rPr>
              <w:t>COMMISSIONE EUROPEA</w:t>
            </w:r>
          </w:p>
        </w:tc>
        <w:tc>
          <w:tcPr>
            <w:tcW w:w="5142" w:type="dxa"/>
          </w:tcPr>
          <w:p w:rsidR="00EF54EA" w:rsidRDefault="007A7389" w:rsidP="00EF54EA">
            <w:pPr>
              <w:pStyle w:val="Rientrocorpodeltesto"/>
              <w:spacing w:before="120"/>
              <w:ind w:right="126"/>
              <w:jc w:val="center"/>
              <w:rPr>
                <w:rFonts w:ascii="Arial" w:hAnsi="Arial" w:cs="Arial"/>
                <w:sz w:val="20"/>
              </w:rPr>
            </w:pPr>
            <w:r>
              <w:rPr>
                <w:rFonts w:ascii="ShelleyAndante BT" w:hAnsi="ShelleyAndante BT"/>
                <w:noProof/>
                <w:sz w:val="40"/>
                <w:szCs w:val="40"/>
              </w:rPr>
              <w:drawing>
                <wp:inline distT="0" distB="0" distL="0" distR="0">
                  <wp:extent cx="2870835" cy="1243965"/>
                  <wp:effectExtent l="19050" t="0" r="5715" b="0"/>
                  <wp:docPr id="2" name="Immagine 2" descr="Mip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paaf"/>
                          <pic:cNvPicPr>
                            <a:picLocks noChangeAspect="1" noChangeArrowheads="1"/>
                          </pic:cNvPicPr>
                        </pic:nvPicPr>
                        <pic:blipFill>
                          <a:blip r:embed="rId11" cstate="print"/>
                          <a:srcRect/>
                          <a:stretch>
                            <a:fillRect/>
                          </a:stretch>
                        </pic:blipFill>
                        <pic:spPr bwMode="auto">
                          <a:xfrm>
                            <a:off x="0" y="0"/>
                            <a:ext cx="2870835" cy="1243965"/>
                          </a:xfrm>
                          <a:prstGeom prst="rect">
                            <a:avLst/>
                          </a:prstGeom>
                          <a:noFill/>
                          <a:ln w="9525">
                            <a:noFill/>
                            <a:miter lim="800000"/>
                            <a:headEnd/>
                            <a:tailEnd/>
                          </a:ln>
                        </pic:spPr>
                      </pic:pic>
                    </a:graphicData>
                  </a:graphic>
                </wp:inline>
              </w:drawing>
            </w:r>
          </w:p>
        </w:tc>
      </w:tr>
    </w:tbl>
    <w:p w:rsidR="002B2CDF" w:rsidRDefault="002F47FD" w:rsidP="00826ACF">
      <w:pPr>
        <w:pStyle w:val="Intestazione"/>
        <w:tabs>
          <w:tab w:val="clear" w:pos="9638"/>
        </w:tabs>
        <w:spacing w:before="120"/>
        <w:ind w:right="126"/>
        <w:jc w:val="center"/>
        <w:rPr>
          <w:rFonts w:ascii="Univers" w:hAnsi="Univers"/>
        </w:rPr>
      </w:pPr>
      <w:r>
        <w:rPr>
          <w:rFonts w:ascii="Univers" w:hAnsi="Univers"/>
        </w:rPr>
        <w:t xml:space="preserve"> </w:t>
      </w:r>
      <w:r w:rsidR="00C96428">
        <w:rPr>
          <w:rFonts w:ascii="Univers" w:hAnsi="Univers"/>
        </w:rPr>
        <w:t xml:space="preserve">  </w:t>
      </w:r>
    </w:p>
    <w:p w:rsidR="002B2CDF" w:rsidRDefault="002B2CDF" w:rsidP="00273BE4">
      <w:pPr>
        <w:pStyle w:val="Intestazione"/>
        <w:spacing w:before="120"/>
        <w:ind w:right="126"/>
        <w:jc w:val="center"/>
        <w:rPr>
          <w:rFonts w:ascii="Univers" w:hAnsi="Univers"/>
        </w:rPr>
      </w:pPr>
    </w:p>
    <w:p w:rsidR="00C75108" w:rsidRDefault="00C75108" w:rsidP="00273BE4">
      <w:pPr>
        <w:pStyle w:val="Intestazione"/>
        <w:spacing w:before="120"/>
        <w:ind w:right="126"/>
        <w:jc w:val="center"/>
        <w:rPr>
          <w:rFonts w:ascii="Univers" w:hAnsi="Univers"/>
        </w:rPr>
      </w:pPr>
    </w:p>
    <w:p w:rsidR="006260DB" w:rsidRPr="006260DB" w:rsidRDefault="006260DB" w:rsidP="00273BE4">
      <w:pPr>
        <w:pStyle w:val="Intestazione"/>
        <w:spacing w:line="312" w:lineRule="auto"/>
        <w:ind w:right="126"/>
        <w:jc w:val="center"/>
        <w:rPr>
          <w:rFonts w:ascii="Univers" w:hAnsi="Univers"/>
          <w:sz w:val="28"/>
          <w:szCs w:val="28"/>
        </w:rPr>
      </w:pPr>
      <w:r w:rsidRPr="006260DB">
        <w:rPr>
          <w:rFonts w:ascii="Univers" w:hAnsi="Univers"/>
          <w:sz w:val="28"/>
          <w:szCs w:val="28"/>
        </w:rPr>
        <w:t>Ministero delle Politiche Agricole Alimentari e Forestali</w:t>
      </w:r>
    </w:p>
    <w:p w:rsidR="006260DB" w:rsidRPr="006260DB" w:rsidRDefault="006260DB" w:rsidP="00273BE4">
      <w:pPr>
        <w:pStyle w:val="Intestazione"/>
        <w:spacing w:line="312" w:lineRule="auto"/>
        <w:ind w:right="126"/>
        <w:jc w:val="center"/>
        <w:rPr>
          <w:rFonts w:ascii="Univers" w:hAnsi="Univers"/>
          <w:sz w:val="28"/>
          <w:szCs w:val="28"/>
        </w:rPr>
      </w:pPr>
    </w:p>
    <w:p w:rsidR="006260DB" w:rsidRPr="006260DB" w:rsidRDefault="00EF54EA" w:rsidP="00273BE4">
      <w:pPr>
        <w:pStyle w:val="Intestazione"/>
        <w:spacing w:line="312" w:lineRule="auto"/>
        <w:ind w:right="126"/>
        <w:jc w:val="center"/>
        <w:rPr>
          <w:rFonts w:ascii="Univers" w:hAnsi="Univers"/>
          <w:sz w:val="28"/>
          <w:szCs w:val="28"/>
        </w:rPr>
      </w:pPr>
      <w:r w:rsidRPr="00EF54EA">
        <w:rPr>
          <w:rFonts w:ascii="Univers" w:hAnsi="Univers"/>
          <w:sz w:val="28"/>
          <w:szCs w:val="28"/>
        </w:rPr>
        <w:t xml:space="preserve">Dipartimento delle politiche europee e internazionali e dello sviluppo rurale </w:t>
      </w:r>
    </w:p>
    <w:p w:rsidR="006260DB" w:rsidRPr="006260DB" w:rsidRDefault="006260DB" w:rsidP="00273BE4">
      <w:pPr>
        <w:pStyle w:val="Intestazione"/>
        <w:spacing w:line="312" w:lineRule="auto"/>
        <w:ind w:right="126"/>
        <w:jc w:val="center"/>
        <w:rPr>
          <w:rFonts w:ascii="Univers" w:hAnsi="Univers"/>
          <w:sz w:val="28"/>
          <w:szCs w:val="28"/>
        </w:rPr>
      </w:pPr>
      <w:r w:rsidRPr="006260DB">
        <w:rPr>
          <w:rFonts w:ascii="Univers" w:hAnsi="Univers"/>
          <w:sz w:val="28"/>
          <w:szCs w:val="28"/>
        </w:rPr>
        <w:t xml:space="preserve">Direzione Generale </w:t>
      </w:r>
      <w:r w:rsidR="00EF54EA">
        <w:rPr>
          <w:rFonts w:ascii="Univers" w:hAnsi="Univers"/>
          <w:sz w:val="28"/>
          <w:szCs w:val="28"/>
        </w:rPr>
        <w:t xml:space="preserve">dello </w:t>
      </w:r>
      <w:r w:rsidRPr="006260DB">
        <w:rPr>
          <w:rFonts w:ascii="Univers" w:hAnsi="Univers"/>
          <w:sz w:val="28"/>
          <w:szCs w:val="28"/>
        </w:rPr>
        <w:t>Sviluppo Rurale</w:t>
      </w:r>
    </w:p>
    <w:p w:rsidR="006260DB" w:rsidRDefault="006260DB" w:rsidP="00273BE4">
      <w:pPr>
        <w:pStyle w:val="Intestazione"/>
        <w:tabs>
          <w:tab w:val="right" w:pos="9072"/>
        </w:tabs>
        <w:spacing w:before="120"/>
        <w:ind w:right="126"/>
        <w:jc w:val="center"/>
        <w:rPr>
          <w:rFonts w:ascii="Univers" w:hAnsi="Univers"/>
          <w:sz w:val="28"/>
          <w:szCs w:val="28"/>
        </w:rPr>
      </w:pPr>
    </w:p>
    <w:p w:rsidR="002B2CDF" w:rsidRPr="00E07F23" w:rsidRDefault="00EF54EA" w:rsidP="00273BE4">
      <w:pPr>
        <w:pStyle w:val="Intestazione"/>
        <w:tabs>
          <w:tab w:val="right" w:pos="9072"/>
        </w:tabs>
        <w:spacing w:before="120"/>
        <w:ind w:right="126"/>
        <w:jc w:val="center"/>
        <w:rPr>
          <w:sz w:val="28"/>
          <w:szCs w:val="28"/>
        </w:rPr>
      </w:pPr>
      <w:r>
        <w:rPr>
          <w:rFonts w:ascii="Univers" w:hAnsi="Univers"/>
          <w:sz w:val="28"/>
          <w:szCs w:val="28"/>
        </w:rPr>
        <w:t xml:space="preserve">DISR </w:t>
      </w:r>
      <w:r w:rsidR="002B2CDF" w:rsidRPr="00E07F23">
        <w:rPr>
          <w:rFonts w:ascii="Univers" w:hAnsi="Univers"/>
          <w:sz w:val="28"/>
          <w:szCs w:val="28"/>
        </w:rPr>
        <w:t>II</w:t>
      </w:r>
    </w:p>
    <w:p w:rsidR="002B2CDF" w:rsidRDefault="002B2CDF" w:rsidP="00273BE4">
      <w:pPr>
        <w:spacing w:before="120"/>
        <w:ind w:right="126"/>
        <w:jc w:val="both"/>
      </w:pPr>
    </w:p>
    <w:p w:rsidR="002B2CDF" w:rsidRDefault="002B2CDF" w:rsidP="00273BE4">
      <w:pPr>
        <w:spacing w:before="120"/>
        <w:ind w:right="126"/>
        <w:jc w:val="both"/>
      </w:pPr>
    </w:p>
    <w:p w:rsidR="002B2CDF" w:rsidRDefault="002B2CDF" w:rsidP="00273BE4">
      <w:pPr>
        <w:spacing w:before="120"/>
        <w:ind w:right="126"/>
        <w:jc w:val="both"/>
      </w:pPr>
    </w:p>
    <w:p w:rsidR="002B2CDF" w:rsidRDefault="002B2CDF" w:rsidP="00273BE4">
      <w:pPr>
        <w:spacing w:before="120"/>
        <w:ind w:right="126"/>
        <w:jc w:val="both"/>
      </w:pPr>
    </w:p>
    <w:p w:rsidR="002B2CDF" w:rsidRDefault="00B57F11" w:rsidP="00273BE4">
      <w:pPr>
        <w:spacing w:before="120"/>
        <w:ind w:right="126"/>
        <w:jc w:val="center"/>
      </w:pPr>
      <w:r>
        <w:t>BOZZA</w:t>
      </w:r>
    </w:p>
    <w:p w:rsidR="002B2CDF" w:rsidRDefault="002B2CDF" w:rsidP="00273BE4">
      <w:pPr>
        <w:spacing w:before="120"/>
        <w:ind w:right="126"/>
      </w:pPr>
    </w:p>
    <w:p w:rsidR="002B2CDF" w:rsidRDefault="002B2CDF" w:rsidP="00273BE4">
      <w:pPr>
        <w:spacing w:before="120"/>
        <w:ind w:right="126"/>
        <w:jc w:val="center"/>
        <w:rPr>
          <w:i/>
          <w:sz w:val="28"/>
          <w:szCs w:val="28"/>
        </w:rPr>
      </w:pPr>
    </w:p>
    <w:p w:rsidR="002B2CDF" w:rsidRDefault="002B2CDF" w:rsidP="00273BE4">
      <w:pPr>
        <w:spacing w:before="120"/>
        <w:ind w:right="126"/>
        <w:jc w:val="center"/>
        <w:rPr>
          <w:sz w:val="28"/>
          <w:szCs w:val="28"/>
        </w:rPr>
      </w:pPr>
    </w:p>
    <w:p w:rsidR="002B2CDF" w:rsidRDefault="002B2CDF" w:rsidP="00273BE4">
      <w:pPr>
        <w:spacing w:before="120"/>
        <w:ind w:right="126"/>
        <w:jc w:val="center"/>
        <w:rPr>
          <w:sz w:val="28"/>
          <w:szCs w:val="28"/>
        </w:rPr>
      </w:pPr>
    </w:p>
    <w:p w:rsidR="002B2CDF" w:rsidRDefault="002B2CDF" w:rsidP="00273BE4">
      <w:pPr>
        <w:pStyle w:val="Normale24pt"/>
        <w:spacing w:before="120"/>
        <w:ind w:right="126"/>
      </w:pPr>
      <w:r w:rsidRPr="003325FC">
        <w:t>“</w:t>
      </w:r>
      <w:r w:rsidR="00A925A9">
        <w:t xml:space="preserve">Linee guida </w:t>
      </w:r>
      <w:r w:rsidR="00580DAD">
        <w:t xml:space="preserve">sull’ammissibilità delle spese relative allo sviluppo rurale </w:t>
      </w:r>
      <w:r w:rsidR="004722E8">
        <w:t>2014-2020</w:t>
      </w:r>
      <w:r>
        <w:t>”</w:t>
      </w:r>
    </w:p>
    <w:p w:rsidR="002B2CDF" w:rsidRPr="00C75108" w:rsidRDefault="002B2CDF" w:rsidP="00273BE4">
      <w:pPr>
        <w:pStyle w:val="Normale24pt"/>
        <w:spacing w:before="120"/>
        <w:ind w:right="126"/>
        <w:rPr>
          <w:sz w:val="24"/>
          <w:szCs w:val="24"/>
        </w:rPr>
      </w:pPr>
    </w:p>
    <w:p w:rsidR="002B2CDF" w:rsidRPr="0025688C" w:rsidRDefault="00776BE1" w:rsidP="00273BE4">
      <w:pPr>
        <w:pStyle w:val="Normale24pt"/>
        <w:spacing w:before="120"/>
        <w:ind w:right="126"/>
        <w:rPr>
          <w:b/>
          <w:sz w:val="24"/>
          <w:szCs w:val="24"/>
        </w:rPr>
      </w:pPr>
      <w:r w:rsidRPr="0025688C">
        <w:rPr>
          <w:b/>
          <w:sz w:val="24"/>
          <w:szCs w:val="24"/>
        </w:rPr>
        <w:t xml:space="preserve"> </w:t>
      </w:r>
    </w:p>
    <w:p w:rsidR="007536B4" w:rsidRPr="00244AB9" w:rsidRDefault="00425F55" w:rsidP="00273BE4">
      <w:pPr>
        <w:pStyle w:val="Normale24pt"/>
        <w:spacing w:before="120"/>
        <w:ind w:right="126"/>
        <w:rPr>
          <w:b/>
          <w:sz w:val="24"/>
          <w:szCs w:val="24"/>
          <w:lang w:val="en-GB"/>
        </w:rPr>
      </w:pPr>
      <w:r>
        <w:rPr>
          <w:b/>
          <w:sz w:val="24"/>
          <w:szCs w:val="24"/>
        </w:rPr>
        <w:t>30</w:t>
      </w:r>
      <w:r w:rsidR="0088766B">
        <w:rPr>
          <w:b/>
          <w:sz w:val="24"/>
          <w:szCs w:val="24"/>
        </w:rPr>
        <w:t xml:space="preserve"> Novemb</w:t>
      </w:r>
      <w:r w:rsidR="00124612">
        <w:rPr>
          <w:b/>
          <w:sz w:val="24"/>
          <w:szCs w:val="24"/>
        </w:rPr>
        <w:t xml:space="preserve">re </w:t>
      </w:r>
      <w:r w:rsidR="00EF54EA">
        <w:rPr>
          <w:b/>
          <w:sz w:val="24"/>
          <w:szCs w:val="24"/>
        </w:rPr>
        <w:t>201</w:t>
      </w:r>
      <w:r w:rsidR="00D37354">
        <w:rPr>
          <w:b/>
          <w:sz w:val="24"/>
          <w:szCs w:val="24"/>
        </w:rPr>
        <w:t>5</w:t>
      </w:r>
    </w:p>
    <w:p w:rsidR="007E3199" w:rsidRPr="00244AB9" w:rsidRDefault="007E3199" w:rsidP="00273BE4">
      <w:pPr>
        <w:pStyle w:val="Normale24pt"/>
        <w:spacing w:before="120"/>
        <w:ind w:right="126"/>
        <w:rPr>
          <w:b/>
          <w:sz w:val="24"/>
          <w:szCs w:val="24"/>
          <w:lang w:val="en-GB"/>
        </w:rPr>
      </w:pPr>
    </w:p>
    <w:p w:rsidR="007E3199" w:rsidRPr="00244AB9" w:rsidRDefault="007E3199" w:rsidP="00273BE4">
      <w:pPr>
        <w:pStyle w:val="Normale24pt"/>
        <w:spacing w:before="120"/>
        <w:ind w:right="126"/>
        <w:rPr>
          <w:b/>
          <w:sz w:val="24"/>
          <w:szCs w:val="24"/>
          <w:lang w:val="en-GB"/>
        </w:rPr>
      </w:pPr>
    </w:p>
    <w:p w:rsidR="00181592" w:rsidRPr="00537F6C" w:rsidRDefault="00BE1DC4" w:rsidP="00273BE4">
      <w:pPr>
        <w:pStyle w:val="Sommario1"/>
        <w:jc w:val="center"/>
        <w:rPr>
          <w:b/>
          <w:lang w:val="en-GB"/>
        </w:rPr>
      </w:pPr>
      <w:r>
        <w:rPr>
          <w:rFonts w:ascii="Cambria" w:hAnsi="Cambria"/>
          <w:bCs/>
          <w:noProof w:val="0"/>
          <w:color w:val="365F91"/>
          <w:sz w:val="28"/>
          <w:szCs w:val="28"/>
          <w:lang w:val="en-US" w:eastAsia="en-US"/>
        </w:rPr>
        <w:br w:type="page"/>
      </w:r>
      <w:r w:rsidR="00181592" w:rsidRPr="00537F6C">
        <w:rPr>
          <w:b/>
          <w:lang w:val="en-GB"/>
        </w:rPr>
        <w:lastRenderedPageBreak/>
        <w:t>INDICE</w:t>
      </w:r>
      <w:r w:rsidR="002D316F">
        <w:rPr>
          <w:b/>
          <w:lang w:val="en-GB"/>
        </w:rPr>
        <w:t xml:space="preserve"> </w:t>
      </w:r>
    </w:p>
    <w:p w:rsidR="00181592" w:rsidRPr="00244AB9" w:rsidRDefault="00181592" w:rsidP="00273BE4">
      <w:pPr>
        <w:pStyle w:val="Sommario1"/>
        <w:rPr>
          <w:lang w:val="en-GB"/>
        </w:rPr>
      </w:pPr>
    </w:p>
    <w:p w:rsidR="00E70A31" w:rsidRPr="0028175B" w:rsidRDefault="00E4375C">
      <w:pPr>
        <w:pStyle w:val="Sommario1"/>
        <w:tabs>
          <w:tab w:val="right" w:leader="dot" w:pos="9628"/>
        </w:tabs>
        <w:rPr>
          <w:rFonts w:ascii="Calibri" w:hAnsi="Calibri"/>
          <w:sz w:val="22"/>
          <w:szCs w:val="22"/>
        </w:rPr>
      </w:pPr>
      <w:r w:rsidRPr="007D4A7F">
        <w:rPr>
          <w:b/>
        </w:rPr>
        <w:fldChar w:fldCharType="begin"/>
      </w:r>
      <w:r w:rsidR="00181592" w:rsidRPr="007D4A7F">
        <w:rPr>
          <w:b/>
        </w:rPr>
        <w:instrText xml:space="preserve"> TOC \o "1-3" \h \z \u </w:instrText>
      </w:r>
      <w:r w:rsidRPr="007D4A7F">
        <w:rPr>
          <w:b/>
        </w:rPr>
        <w:fldChar w:fldCharType="separate"/>
      </w:r>
      <w:hyperlink w:anchor="_Toc432090693" w:history="1">
        <w:r w:rsidR="00E70A31" w:rsidRPr="008F7181">
          <w:rPr>
            <w:rStyle w:val="Collegamentoipertestuale"/>
          </w:rPr>
          <w:t>INTRODUZIONE</w:t>
        </w:r>
        <w:r w:rsidR="00E70A31">
          <w:rPr>
            <w:webHidden/>
          </w:rPr>
          <w:tab/>
        </w:r>
        <w:r>
          <w:rPr>
            <w:webHidden/>
          </w:rPr>
          <w:fldChar w:fldCharType="begin"/>
        </w:r>
        <w:r w:rsidR="00E70A31">
          <w:rPr>
            <w:webHidden/>
          </w:rPr>
          <w:instrText xml:space="preserve"> PAGEREF _Toc432090693 \h </w:instrText>
        </w:r>
        <w:r>
          <w:rPr>
            <w:webHidden/>
          </w:rPr>
        </w:r>
        <w:r>
          <w:rPr>
            <w:webHidden/>
          </w:rPr>
          <w:fldChar w:fldCharType="separate"/>
        </w:r>
        <w:r w:rsidR="00E70A31">
          <w:rPr>
            <w:webHidden/>
          </w:rPr>
          <w:t>4</w:t>
        </w:r>
        <w:r>
          <w:rPr>
            <w:webHidden/>
          </w:rPr>
          <w:fldChar w:fldCharType="end"/>
        </w:r>
      </w:hyperlink>
    </w:p>
    <w:p w:rsidR="00E70A31" w:rsidRPr="0028175B" w:rsidRDefault="00DC5AB5">
      <w:pPr>
        <w:pStyle w:val="Sommario1"/>
        <w:tabs>
          <w:tab w:val="left" w:pos="480"/>
          <w:tab w:val="right" w:leader="dot" w:pos="9628"/>
        </w:tabs>
        <w:rPr>
          <w:rFonts w:ascii="Calibri" w:hAnsi="Calibri"/>
          <w:sz w:val="22"/>
          <w:szCs w:val="22"/>
        </w:rPr>
      </w:pPr>
      <w:hyperlink w:anchor="_Toc432090694" w:history="1">
        <w:r w:rsidR="00E70A31" w:rsidRPr="008F7181">
          <w:rPr>
            <w:rStyle w:val="Collegamentoipertestuale"/>
          </w:rPr>
          <w:t>1.</w:t>
        </w:r>
        <w:r w:rsidR="00E70A31" w:rsidRPr="0028175B">
          <w:rPr>
            <w:rFonts w:ascii="Calibri" w:hAnsi="Calibri"/>
            <w:sz w:val="22"/>
            <w:szCs w:val="22"/>
          </w:rPr>
          <w:tab/>
        </w:r>
        <w:r w:rsidR="00E70A31" w:rsidRPr="008F7181">
          <w:rPr>
            <w:rStyle w:val="Collegamentoipertestuale"/>
          </w:rPr>
          <w:t>AMBITO DI APPLICAZIONE E FORME DEL SOSTEGNO</w:t>
        </w:r>
        <w:r w:rsidR="00E70A31">
          <w:rPr>
            <w:webHidden/>
          </w:rPr>
          <w:tab/>
        </w:r>
        <w:r w:rsidR="00E4375C">
          <w:rPr>
            <w:webHidden/>
          </w:rPr>
          <w:fldChar w:fldCharType="begin"/>
        </w:r>
        <w:r w:rsidR="00E70A31">
          <w:rPr>
            <w:webHidden/>
          </w:rPr>
          <w:instrText xml:space="preserve"> PAGEREF _Toc432090694 \h </w:instrText>
        </w:r>
        <w:r w:rsidR="00E4375C">
          <w:rPr>
            <w:webHidden/>
          </w:rPr>
        </w:r>
        <w:r w:rsidR="00E4375C">
          <w:rPr>
            <w:webHidden/>
          </w:rPr>
          <w:fldChar w:fldCharType="separate"/>
        </w:r>
        <w:r w:rsidR="00E70A31">
          <w:rPr>
            <w:webHidden/>
          </w:rPr>
          <w:t>5</w:t>
        </w:r>
        <w:r w:rsidR="00E4375C">
          <w:rPr>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695" w:history="1">
        <w:r w:rsidR="00E70A31" w:rsidRPr="008F7181">
          <w:rPr>
            <w:rStyle w:val="Collegamentoipertestuale"/>
            <w:noProof/>
          </w:rPr>
          <w:t>Forme delle sovvenzioni</w:t>
        </w:r>
        <w:r w:rsidR="00E70A31">
          <w:rPr>
            <w:noProof/>
            <w:webHidden/>
          </w:rPr>
          <w:tab/>
        </w:r>
        <w:r w:rsidR="00E4375C">
          <w:rPr>
            <w:noProof/>
            <w:webHidden/>
          </w:rPr>
          <w:fldChar w:fldCharType="begin"/>
        </w:r>
        <w:r w:rsidR="00E70A31">
          <w:rPr>
            <w:noProof/>
            <w:webHidden/>
          </w:rPr>
          <w:instrText xml:space="preserve"> PAGEREF _Toc432090695 \h </w:instrText>
        </w:r>
        <w:r w:rsidR="00E4375C">
          <w:rPr>
            <w:noProof/>
            <w:webHidden/>
          </w:rPr>
        </w:r>
        <w:r w:rsidR="00E4375C">
          <w:rPr>
            <w:noProof/>
            <w:webHidden/>
          </w:rPr>
          <w:fldChar w:fldCharType="separate"/>
        </w:r>
        <w:r w:rsidR="00E70A31">
          <w:rPr>
            <w:noProof/>
            <w:webHidden/>
          </w:rPr>
          <w:t>5</w:t>
        </w:r>
        <w:r w:rsidR="00E4375C">
          <w:rPr>
            <w:noProof/>
            <w:webHidden/>
          </w:rPr>
          <w:fldChar w:fldCharType="end"/>
        </w:r>
      </w:hyperlink>
    </w:p>
    <w:p w:rsidR="00E70A31" w:rsidRPr="0028175B" w:rsidRDefault="00DC5AB5">
      <w:pPr>
        <w:pStyle w:val="Sommario1"/>
        <w:tabs>
          <w:tab w:val="left" w:pos="480"/>
          <w:tab w:val="right" w:leader="dot" w:pos="9628"/>
        </w:tabs>
        <w:rPr>
          <w:rFonts w:ascii="Calibri" w:hAnsi="Calibri"/>
          <w:sz w:val="22"/>
          <w:szCs w:val="22"/>
        </w:rPr>
      </w:pPr>
      <w:hyperlink w:anchor="_Toc432090696" w:history="1">
        <w:r w:rsidR="00E70A31" w:rsidRPr="008F7181">
          <w:rPr>
            <w:rStyle w:val="Collegamentoipertestuale"/>
          </w:rPr>
          <w:t>2.</w:t>
        </w:r>
        <w:r w:rsidR="00E70A31" w:rsidRPr="0028175B">
          <w:rPr>
            <w:rFonts w:ascii="Calibri" w:hAnsi="Calibri"/>
            <w:sz w:val="22"/>
            <w:szCs w:val="22"/>
          </w:rPr>
          <w:tab/>
        </w:r>
        <w:r w:rsidR="00E70A31" w:rsidRPr="008F7181">
          <w:rPr>
            <w:rStyle w:val="Collegamentoipertestuale"/>
          </w:rPr>
          <w:t>CRITERI GENERALI RELATIVI ALL’AMMISSIBILITA’ DELLE SPESE</w:t>
        </w:r>
        <w:r w:rsidR="00E70A31">
          <w:rPr>
            <w:webHidden/>
          </w:rPr>
          <w:tab/>
        </w:r>
        <w:r w:rsidR="00E4375C">
          <w:rPr>
            <w:webHidden/>
          </w:rPr>
          <w:fldChar w:fldCharType="begin"/>
        </w:r>
        <w:r w:rsidR="00E70A31">
          <w:rPr>
            <w:webHidden/>
          </w:rPr>
          <w:instrText xml:space="preserve"> PAGEREF _Toc432090696 \h </w:instrText>
        </w:r>
        <w:r w:rsidR="00E4375C">
          <w:rPr>
            <w:webHidden/>
          </w:rPr>
        </w:r>
        <w:r w:rsidR="00E4375C">
          <w:rPr>
            <w:webHidden/>
          </w:rPr>
          <w:fldChar w:fldCharType="separate"/>
        </w:r>
        <w:r w:rsidR="00E70A31">
          <w:rPr>
            <w:webHidden/>
          </w:rPr>
          <w:t>7</w:t>
        </w:r>
        <w:r w:rsidR="00E4375C">
          <w:rPr>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697" w:history="1">
        <w:r w:rsidR="00E70A31" w:rsidRPr="008F7181">
          <w:rPr>
            <w:rStyle w:val="Collegamentoipertestuale"/>
            <w:noProof/>
          </w:rPr>
          <w:t>Premessa</w:t>
        </w:r>
        <w:r w:rsidR="00E70A31">
          <w:rPr>
            <w:noProof/>
            <w:webHidden/>
          </w:rPr>
          <w:tab/>
        </w:r>
        <w:r w:rsidR="00E4375C">
          <w:rPr>
            <w:noProof/>
            <w:webHidden/>
          </w:rPr>
          <w:fldChar w:fldCharType="begin"/>
        </w:r>
        <w:r w:rsidR="00E70A31">
          <w:rPr>
            <w:noProof/>
            <w:webHidden/>
          </w:rPr>
          <w:instrText xml:space="preserve"> PAGEREF _Toc432090697 \h </w:instrText>
        </w:r>
        <w:r w:rsidR="00E4375C">
          <w:rPr>
            <w:noProof/>
            <w:webHidden/>
          </w:rPr>
        </w:r>
        <w:r w:rsidR="00E4375C">
          <w:rPr>
            <w:noProof/>
            <w:webHidden/>
          </w:rPr>
          <w:fldChar w:fldCharType="separate"/>
        </w:r>
        <w:r w:rsidR="00E70A31">
          <w:rPr>
            <w:noProof/>
            <w:webHidden/>
          </w:rPr>
          <w:t>7</w:t>
        </w:r>
        <w:r w:rsidR="00E4375C">
          <w:rPr>
            <w:noProof/>
            <w:webHidden/>
          </w:rPr>
          <w:fldChar w:fldCharType="end"/>
        </w:r>
      </w:hyperlink>
    </w:p>
    <w:p w:rsidR="00E70A31" w:rsidRPr="0028175B" w:rsidRDefault="00DC5AB5">
      <w:pPr>
        <w:pStyle w:val="Sommario2"/>
        <w:tabs>
          <w:tab w:val="left" w:pos="880"/>
          <w:tab w:val="right" w:leader="dot" w:pos="9628"/>
        </w:tabs>
        <w:rPr>
          <w:rFonts w:ascii="Calibri" w:hAnsi="Calibri"/>
          <w:noProof/>
          <w:sz w:val="22"/>
          <w:szCs w:val="22"/>
        </w:rPr>
      </w:pPr>
      <w:hyperlink w:anchor="_Toc432090698" w:history="1">
        <w:r w:rsidR="00E70A31" w:rsidRPr="008F7181">
          <w:rPr>
            <w:rStyle w:val="Collegamentoipertestuale"/>
            <w:noProof/>
            <w:snapToGrid w:val="0"/>
          </w:rPr>
          <w:t xml:space="preserve">2.1 </w:t>
        </w:r>
        <w:r w:rsidR="00E70A31" w:rsidRPr="0028175B">
          <w:rPr>
            <w:rFonts w:ascii="Calibri" w:hAnsi="Calibri"/>
            <w:noProof/>
            <w:sz w:val="22"/>
            <w:szCs w:val="22"/>
          </w:rPr>
          <w:tab/>
        </w:r>
        <w:r w:rsidR="00E70A31" w:rsidRPr="008F7181">
          <w:rPr>
            <w:rStyle w:val="Collegamentoipertestuale"/>
            <w:noProof/>
            <w:snapToGrid w:val="0"/>
          </w:rPr>
          <w:t>Periodo di eleggibilità della spesa</w:t>
        </w:r>
        <w:r w:rsidR="00E70A31">
          <w:rPr>
            <w:noProof/>
            <w:webHidden/>
          </w:rPr>
          <w:tab/>
        </w:r>
        <w:r w:rsidR="00E4375C">
          <w:rPr>
            <w:noProof/>
            <w:webHidden/>
          </w:rPr>
          <w:fldChar w:fldCharType="begin"/>
        </w:r>
        <w:r w:rsidR="00E70A31">
          <w:rPr>
            <w:noProof/>
            <w:webHidden/>
          </w:rPr>
          <w:instrText xml:space="preserve"> PAGEREF _Toc432090698 \h </w:instrText>
        </w:r>
        <w:r w:rsidR="00E4375C">
          <w:rPr>
            <w:noProof/>
            <w:webHidden/>
          </w:rPr>
        </w:r>
        <w:r w:rsidR="00E4375C">
          <w:rPr>
            <w:noProof/>
            <w:webHidden/>
          </w:rPr>
          <w:fldChar w:fldCharType="separate"/>
        </w:r>
        <w:r w:rsidR="00E70A31">
          <w:rPr>
            <w:noProof/>
            <w:webHidden/>
          </w:rPr>
          <w:t>7</w:t>
        </w:r>
        <w:r w:rsidR="00E4375C">
          <w:rPr>
            <w:noProof/>
            <w:webHidden/>
          </w:rPr>
          <w:fldChar w:fldCharType="end"/>
        </w:r>
      </w:hyperlink>
    </w:p>
    <w:p w:rsidR="00E70A31" w:rsidRPr="0028175B" w:rsidRDefault="00DC5AB5">
      <w:pPr>
        <w:pStyle w:val="Sommario2"/>
        <w:tabs>
          <w:tab w:val="left" w:pos="880"/>
          <w:tab w:val="right" w:leader="dot" w:pos="9628"/>
        </w:tabs>
        <w:rPr>
          <w:rFonts w:ascii="Calibri" w:hAnsi="Calibri"/>
          <w:noProof/>
          <w:sz w:val="22"/>
          <w:szCs w:val="22"/>
        </w:rPr>
      </w:pPr>
      <w:hyperlink w:anchor="_Toc432090699" w:history="1">
        <w:r w:rsidR="00E70A31" w:rsidRPr="008F7181">
          <w:rPr>
            <w:rStyle w:val="Collegamentoipertestuale"/>
            <w:noProof/>
            <w:snapToGrid w:val="0"/>
          </w:rPr>
          <w:t xml:space="preserve">2.2 </w:t>
        </w:r>
        <w:r w:rsidR="00E70A31" w:rsidRPr="0028175B">
          <w:rPr>
            <w:rFonts w:ascii="Calibri" w:hAnsi="Calibri"/>
            <w:noProof/>
            <w:sz w:val="22"/>
            <w:szCs w:val="22"/>
          </w:rPr>
          <w:tab/>
        </w:r>
        <w:r w:rsidR="00E70A31" w:rsidRPr="008F7181">
          <w:rPr>
            <w:rStyle w:val="Collegamentoipertestuale"/>
            <w:noProof/>
            <w:snapToGrid w:val="0"/>
          </w:rPr>
          <w:t>Imputabilità, pertinenza, congruità e ragionevolezza</w:t>
        </w:r>
        <w:r w:rsidR="00E70A31">
          <w:rPr>
            <w:noProof/>
            <w:webHidden/>
          </w:rPr>
          <w:tab/>
        </w:r>
        <w:r w:rsidR="00E4375C">
          <w:rPr>
            <w:noProof/>
            <w:webHidden/>
          </w:rPr>
          <w:fldChar w:fldCharType="begin"/>
        </w:r>
        <w:r w:rsidR="00E70A31">
          <w:rPr>
            <w:noProof/>
            <w:webHidden/>
          </w:rPr>
          <w:instrText xml:space="preserve"> PAGEREF _Toc432090699 \h </w:instrText>
        </w:r>
        <w:r w:rsidR="00E4375C">
          <w:rPr>
            <w:noProof/>
            <w:webHidden/>
          </w:rPr>
        </w:r>
        <w:r w:rsidR="00E4375C">
          <w:rPr>
            <w:noProof/>
            <w:webHidden/>
          </w:rPr>
          <w:fldChar w:fldCharType="separate"/>
        </w:r>
        <w:r w:rsidR="00E70A31">
          <w:rPr>
            <w:noProof/>
            <w:webHidden/>
          </w:rPr>
          <w:t>8</w:t>
        </w:r>
        <w:r w:rsidR="00E4375C">
          <w:rPr>
            <w:noProof/>
            <w:webHidden/>
          </w:rPr>
          <w:fldChar w:fldCharType="end"/>
        </w:r>
      </w:hyperlink>
    </w:p>
    <w:p w:rsidR="00E70A31" w:rsidRPr="0028175B" w:rsidRDefault="00DC5AB5">
      <w:pPr>
        <w:pStyle w:val="Sommario2"/>
        <w:tabs>
          <w:tab w:val="left" w:pos="880"/>
          <w:tab w:val="right" w:leader="dot" w:pos="9628"/>
        </w:tabs>
        <w:rPr>
          <w:rFonts w:ascii="Calibri" w:hAnsi="Calibri"/>
          <w:noProof/>
          <w:sz w:val="22"/>
          <w:szCs w:val="22"/>
        </w:rPr>
      </w:pPr>
      <w:hyperlink w:anchor="_Toc432090700" w:history="1">
        <w:r w:rsidR="00E70A31" w:rsidRPr="008F7181">
          <w:rPr>
            <w:rStyle w:val="Collegamentoipertestuale"/>
            <w:noProof/>
            <w:snapToGrid w:val="0"/>
          </w:rPr>
          <w:t xml:space="preserve">2.3 </w:t>
        </w:r>
        <w:r w:rsidR="00E70A31" w:rsidRPr="0028175B">
          <w:rPr>
            <w:rFonts w:ascii="Calibri" w:hAnsi="Calibri"/>
            <w:noProof/>
            <w:sz w:val="22"/>
            <w:szCs w:val="22"/>
          </w:rPr>
          <w:tab/>
        </w:r>
        <w:r w:rsidR="00E70A31" w:rsidRPr="008F7181">
          <w:rPr>
            <w:rStyle w:val="Collegamentoipertestuale"/>
            <w:noProof/>
            <w:snapToGrid w:val="0"/>
          </w:rPr>
          <w:t>Verificabilità e controllabilità</w:t>
        </w:r>
        <w:r w:rsidR="00E70A31">
          <w:rPr>
            <w:noProof/>
            <w:webHidden/>
          </w:rPr>
          <w:tab/>
        </w:r>
        <w:r w:rsidR="00E4375C">
          <w:rPr>
            <w:noProof/>
            <w:webHidden/>
          </w:rPr>
          <w:fldChar w:fldCharType="begin"/>
        </w:r>
        <w:r w:rsidR="00E70A31">
          <w:rPr>
            <w:noProof/>
            <w:webHidden/>
          </w:rPr>
          <w:instrText xml:space="preserve"> PAGEREF _Toc432090700 \h </w:instrText>
        </w:r>
        <w:r w:rsidR="00E4375C">
          <w:rPr>
            <w:noProof/>
            <w:webHidden/>
          </w:rPr>
        </w:r>
        <w:r w:rsidR="00E4375C">
          <w:rPr>
            <w:noProof/>
            <w:webHidden/>
          </w:rPr>
          <w:fldChar w:fldCharType="separate"/>
        </w:r>
        <w:r w:rsidR="00E70A31">
          <w:rPr>
            <w:noProof/>
            <w:webHidden/>
          </w:rPr>
          <w:t>10</w:t>
        </w:r>
        <w:r w:rsidR="00E4375C">
          <w:rPr>
            <w:noProof/>
            <w:webHidden/>
          </w:rPr>
          <w:fldChar w:fldCharType="end"/>
        </w:r>
      </w:hyperlink>
    </w:p>
    <w:p w:rsidR="00E70A31" w:rsidRPr="0028175B" w:rsidRDefault="00DC5AB5">
      <w:pPr>
        <w:pStyle w:val="Sommario2"/>
        <w:tabs>
          <w:tab w:val="left" w:pos="880"/>
          <w:tab w:val="right" w:leader="dot" w:pos="9628"/>
        </w:tabs>
        <w:rPr>
          <w:rFonts w:ascii="Calibri" w:hAnsi="Calibri"/>
          <w:noProof/>
          <w:sz w:val="22"/>
          <w:szCs w:val="22"/>
        </w:rPr>
      </w:pPr>
      <w:hyperlink w:anchor="_Toc432090701" w:history="1">
        <w:r w:rsidR="00E70A31" w:rsidRPr="008F7181">
          <w:rPr>
            <w:rStyle w:val="Collegamentoipertestuale"/>
            <w:noProof/>
            <w:snapToGrid w:val="0"/>
          </w:rPr>
          <w:t xml:space="preserve">2.4 </w:t>
        </w:r>
        <w:r w:rsidR="00E70A31" w:rsidRPr="0028175B">
          <w:rPr>
            <w:rFonts w:ascii="Calibri" w:hAnsi="Calibri"/>
            <w:noProof/>
            <w:sz w:val="22"/>
            <w:szCs w:val="22"/>
          </w:rPr>
          <w:tab/>
        </w:r>
        <w:r w:rsidR="00E70A31" w:rsidRPr="008F7181">
          <w:rPr>
            <w:rStyle w:val="Collegamentoipertestuale"/>
            <w:noProof/>
            <w:snapToGrid w:val="0"/>
          </w:rPr>
          <w:t>Legittimità e contabilizzazione delle spese</w:t>
        </w:r>
        <w:r w:rsidR="00E70A31">
          <w:rPr>
            <w:noProof/>
            <w:webHidden/>
          </w:rPr>
          <w:tab/>
        </w:r>
        <w:r w:rsidR="00E4375C">
          <w:rPr>
            <w:noProof/>
            <w:webHidden/>
          </w:rPr>
          <w:fldChar w:fldCharType="begin"/>
        </w:r>
        <w:r w:rsidR="00E70A31">
          <w:rPr>
            <w:noProof/>
            <w:webHidden/>
          </w:rPr>
          <w:instrText xml:space="preserve"> PAGEREF _Toc432090701 \h </w:instrText>
        </w:r>
        <w:r w:rsidR="00E4375C">
          <w:rPr>
            <w:noProof/>
            <w:webHidden/>
          </w:rPr>
        </w:r>
        <w:r w:rsidR="00E4375C">
          <w:rPr>
            <w:noProof/>
            <w:webHidden/>
          </w:rPr>
          <w:fldChar w:fldCharType="separate"/>
        </w:r>
        <w:r w:rsidR="00E70A31">
          <w:rPr>
            <w:noProof/>
            <w:webHidden/>
          </w:rPr>
          <w:t>11</w:t>
        </w:r>
        <w:r w:rsidR="00E4375C">
          <w:rPr>
            <w:noProof/>
            <w:webHidden/>
          </w:rPr>
          <w:fldChar w:fldCharType="end"/>
        </w:r>
      </w:hyperlink>
    </w:p>
    <w:p w:rsidR="00E70A31" w:rsidRPr="0028175B" w:rsidRDefault="00DC5AB5">
      <w:pPr>
        <w:pStyle w:val="Sommario1"/>
        <w:tabs>
          <w:tab w:val="right" w:leader="dot" w:pos="9628"/>
        </w:tabs>
        <w:rPr>
          <w:rFonts w:ascii="Calibri" w:hAnsi="Calibri"/>
          <w:sz w:val="22"/>
          <w:szCs w:val="22"/>
        </w:rPr>
      </w:pPr>
      <w:hyperlink w:anchor="_Toc432090702" w:history="1">
        <w:r w:rsidR="00E70A31" w:rsidRPr="008F7181">
          <w:rPr>
            <w:rStyle w:val="Collegamentoipertestuale"/>
          </w:rPr>
          <w:t>3. CONDIZIONI DI AMMISSIBILITA’ DI ALCUNE TIPOLOGIE DI SPESA</w:t>
        </w:r>
        <w:r w:rsidR="00E70A31">
          <w:rPr>
            <w:webHidden/>
          </w:rPr>
          <w:tab/>
        </w:r>
        <w:r w:rsidR="00E4375C">
          <w:rPr>
            <w:webHidden/>
          </w:rPr>
          <w:fldChar w:fldCharType="begin"/>
        </w:r>
        <w:r w:rsidR="00E70A31">
          <w:rPr>
            <w:webHidden/>
          </w:rPr>
          <w:instrText xml:space="preserve"> PAGEREF _Toc432090702 \h </w:instrText>
        </w:r>
        <w:r w:rsidR="00E4375C">
          <w:rPr>
            <w:webHidden/>
          </w:rPr>
        </w:r>
        <w:r w:rsidR="00E4375C">
          <w:rPr>
            <w:webHidden/>
          </w:rPr>
          <w:fldChar w:fldCharType="separate"/>
        </w:r>
        <w:r w:rsidR="00E70A31">
          <w:rPr>
            <w:webHidden/>
          </w:rPr>
          <w:t>12</w:t>
        </w:r>
        <w:r w:rsidR="00E4375C">
          <w:rPr>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03" w:history="1">
        <w:r w:rsidR="00E70A31" w:rsidRPr="008F7181">
          <w:rPr>
            <w:rStyle w:val="Collegamentoipertestuale"/>
            <w:noProof/>
          </w:rPr>
          <w:t>Premessa</w:t>
        </w:r>
        <w:r w:rsidR="00E70A31">
          <w:rPr>
            <w:noProof/>
            <w:webHidden/>
          </w:rPr>
          <w:tab/>
        </w:r>
        <w:r w:rsidR="00E4375C">
          <w:rPr>
            <w:noProof/>
            <w:webHidden/>
          </w:rPr>
          <w:fldChar w:fldCharType="begin"/>
        </w:r>
        <w:r w:rsidR="00E70A31">
          <w:rPr>
            <w:noProof/>
            <w:webHidden/>
          </w:rPr>
          <w:instrText xml:space="preserve"> PAGEREF _Toc432090703 \h </w:instrText>
        </w:r>
        <w:r w:rsidR="00E4375C">
          <w:rPr>
            <w:noProof/>
            <w:webHidden/>
          </w:rPr>
        </w:r>
        <w:r w:rsidR="00E4375C">
          <w:rPr>
            <w:noProof/>
            <w:webHidden/>
          </w:rPr>
          <w:fldChar w:fldCharType="separate"/>
        </w:r>
        <w:r w:rsidR="00E70A31">
          <w:rPr>
            <w:noProof/>
            <w:webHidden/>
          </w:rPr>
          <w:t>12</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04" w:history="1">
        <w:r w:rsidR="00E70A31" w:rsidRPr="008F7181">
          <w:rPr>
            <w:rStyle w:val="Collegamentoipertestuale"/>
            <w:noProof/>
          </w:rPr>
          <w:t xml:space="preserve">3.1  </w:t>
        </w:r>
        <w:r w:rsidR="00E70A31" w:rsidRPr="0028175B">
          <w:rPr>
            <w:rFonts w:ascii="Calibri" w:hAnsi="Calibri"/>
            <w:noProof/>
            <w:sz w:val="22"/>
            <w:szCs w:val="22"/>
          </w:rPr>
          <w:tab/>
        </w:r>
        <w:r w:rsidR="00E70A31" w:rsidRPr="008F7181">
          <w:rPr>
            <w:rStyle w:val="Collegamentoipertestuale"/>
            <w:noProof/>
          </w:rPr>
          <w:t>Costi d’investimento materiali e immateriali</w:t>
        </w:r>
        <w:r w:rsidR="00E70A31">
          <w:rPr>
            <w:noProof/>
            <w:webHidden/>
          </w:rPr>
          <w:tab/>
        </w:r>
        <w:r w:rsidR="00E4375C">
          <w:rPr>
            <w:noProof/>
            <w:webHidden/>
          </w:rPr>
          <w:fldChar w:fldCharType="begin"/>
        </w:r>
        <w:r w:rsidR="00E70A31">
          <w:rPr>
            <w:noProof/>
            <w:webHidden/>
          </w:rPr>
          <w:instrText xml:space="preserve"> PAGEREF _Toc432090704 \h </w:instrText>
        </w:r>
        <w:r w:rsidR="00E4375C">
          <w:rPr>
            <w:noProof/>
            <w:webHidden/>
          </w:rPr>
        </w:r>
        <w:r w:rsidR="00E4375C">
          <w:rPr>
            <w:noProof/>
            <w:webHidden/>
          </w:rPr>
          <w:fldChar w:fldCharType="separate"/>
        </w:r>
        <w:r w:rsidR="00E70A31">
          <w:rPr>
            <w:noProof/>
            <w:webHidden/>
          </w:rPr>
          <w:t>12</w:t>
        </w:r>
        <w:r w:rsidR="00E4375C">
          <w:rPr>
            <w:noProof/>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05" w:history="1">
        <w:r w:rsidR="00E70A31" w:rsidRPr="008F7181">
          <w:rPr>
            <w:rStyle w:val="Collegamentoipertestuale"/>
            <w:noProof/>
          </w:rPr>
          <w:t>3.2 Ammortamenti</w:t>
        </w:r>
        <w:r w:rsidR="00E70A31">
          <w:rPr>
            <w:noProof/>
            <w:webHidden/>
          </w:rPr>
          <w:tab/>
        </w:r>
        <w:r w:rsidR="00E4375C">
          <w:rPr>
            <w:noProof/>
            <w:webHidden/>
          </w:rPr>
          <w:fldChar w:fldCharType="begin"/>
        </w:r>
        <w:r w:rsidR="00E70A31">
          <w:rPr>
            <w:noProof/>
            <w:webHidden/>
          </w:rPr>
          <w:instrText xml:space="preserve"> PAGEREF _Toc432090705 \h </w:instrText>
        </w:r>
        <w:r w:rsidR="00E4375C">
          <w:rPr>
            <w:noProof/>
            <w:webHidden/>
          </w:rPr>
        </w:r>
        <w:r w:rsidR="00E4375C">
          <w:rPr>
            <w:noProof/>
            <w:webHidden/>
          </w:rPr>
          <w:fldChar w:fldCharType="separate"/>
        </w:r>
        <w:r w:rsidR="00E70A31">
          <w:rPr>
            <w:noProof/>
            <w:webHidden/>
          </w:rPr>
          <w:t>14</w:t>
        </w:r>
        <w:r w:rsidR="00E4375C">
          <w:rPr>
            <w:noProof/>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06" w:history="1">
        <w:r w:rsidR="00E70A31" w:rsidRPr="008F7181">
          <w:rPr>
            <w:rStyle w:val="Collegamentoipertestuale"/>
            <w:noProof/>
          </w:rPr>
          <w:t>3.3 Spese di gestione e studi</w:t>
        </w:r>
        <w:r w:rsidR="00E70A31">
          <w:rPr>
            <w:noProof/>
            <w:webHidden/>
          </w:rPr>
          <w:tab/>
        </w:r>
        <w:r w:rsidR="00E4375C">
          <w:rPr>
            <w:noProof/>
            <w:webHidden/>
          </w:rPr>
          <w:fldChar w:fldCharType="begin"/>
        </w:r>
        <w:r w:rsidR="00E70A31">
          <w:rPr>
            <w:noProof/>
            <w:webHidden/>
          </w:rPr>
          <w:instrText xml:space="preserve"> PAGEREF _Toc432090706 \h </w:instrText>
        </w:r>
        <w:r w:rsidR="00E4375C">
          <w:rPr>
            <w:noProof/>
            <w:webHidden/>
          </w:rPr>
        </w:r>
        <w:r w:rsidR="00E4375C">
          <w:rPr>
            <w:noProof/>
            <w:webHidden/>
          </w:rPr>
          <w:fldChar w:fldCharType="separate"/>
        </w:r>
        <w:r w:rsidR="00E70A31">
          <w:rPr>
            <w:noProof/>
            <w:webHidden/>
          </w:rPr>
          <w:t>15</w:t>
        </w:r>
        <w:r w:rsidR="00E4375C">
          <w:rPr>
            <w:noProof/>
            <w:webHidden/>
          </w:rPr>
          <w:fldChar w:fldCharType="end"/>
        </w:r>
      </w:hyperlink>
    </w:p>
    <w:p w:rsidR="00E70A31" w:rsidRPr="0028175B" w:rsidRDefault="00DC5AB5">
      <w:pPr>
        <w:pStyle w:val="Sommario2"/>
        <w:tabs>
          <w:tab w:val="left" w:pos="880"/>
          <w:tab w:val="right" w:leader="dot" w:pos="9628"/>
        </w:tabs>
        <w:rPr>
          <w:rFonts w:ascii="Calibri" w:hAnsi="Calibri"/>
          <w:noProof/>
          <w:sz w:val="22"/>
          <w:szCs w:val="22"/>
        </w:rPr>
      </w:pPr>
      <w:hyperlink w:anchor="_Toc432090707" w:history="1">
        <w:r w:rsidR="00E70A31" w:rsidRPr="008F7181">
          <w:rPr>
            <w:rStyle w:val="Collegamentoipertestuale"/>
            <w:noProof/>
          </w:rPr>
          <w:t xml:space="preserve">3.4 </w:t>
        </w:r>
        <w:r w:rsidR="00E70A31" w:rsidRPr="0028175B">
          <w:rPr>
            <w:rFonts w:ascii="Calibri" w:hAnsi="Calibri"/>
            <w:noProof/>
            <w:sz w:val="22"/>
            <w:szCs w:val="22"/>
          </w:rPr>
          <w:tab/>
        </w:r>
        <w:r w:rsidR="00E70A31" w:rsidRPr="008F7181">
          <w:rPr>
            <w:rStyle w:val="Collegamentoipertestuale"/>
            <w:noProof/>
          </w:rPr>
          <w:t>Acquisto di attrezzature di seconda mano</w:t>
        </w:r>
        <w:r w:rsidR="00E70A31">
          <w:rPr>
            <w:noProof/>
            <w:webHidden/>
          </w:rPr>
          <w:tab/>
        </w:r>
        <w:r w:rsidR="00E4375C">
          <w:rPr>
            <w:noProof/>
            <w:webHidden/>
          </w:rPr>
          <w:fldChar w:fldCharType="begin"/>
        </w:r>
        <w:r w:rsidR="00E70A31">
          <w:rPr>
            <w:noProof/>
            <w:webHidden/>
          </w:rPr>
          <w:instrText xml:space="preserve"> PAGEREF _Toc432090707 \h </w:instrText>
        </w:r>
        <w:r w:rsidR="00E4375C">
          <w:rPr>
            <w:noProof/>
            <w:webHidden/>
          </w:rPr>
        </w:r>
        <w:r w:rsidR="00E4375C">
          <w:rPr>
            <w:noProof/>
            <w:webHidden/>
          </w:rPr>
          <w:fldChar w:fldCharType="separate"/>
        </w:r>
        <w:r w:rsidR="00E70A31">
          <w:rPr>
            <w:noProof/>
            <w:webHidden/>
          </w:rPr>
          <w:t>15</w:t>
        </w:r>
        <w:r w:rsidR="00E4375C">
          <w:rPr>
            <w:noProof/>
            <w:webHidden/>
          </w:rPr>
          <w:fldChar w:fldCharType="end"/>
        </w:r>
      </w:hyperlink>
    </w:p>
    <w:p w:rsidR="00E70A31" w:rsidRPr="0028175B" w:rsidRDefault="00DC5AB5">
      <w:pPr>
        <w:pStyle w:val="Sommario2"/>
        <w:tabs>
          <w:tab w:val="left" w:pos="880"/>
          <w:tab w:val="right" w:leader="dot" w:pos="9628"/>
        </w:tabs>
        <w:rPr>
          <w:rFonts w:ascii="Calibri" w:hAnsi="Calibri"/>
          <w:noProof/>
          <w:sz w:val="22"/>
          <w:szCs w:val="22"/>
        </w:rPr>
      </w:pPr>
      <w:hyperlink w:anchor="_Toc432090708" w:history="1">
        <w:r w:rsidR="00E70A31" w:rsidRPr="008F7181">
          <w:rPr>
            <w:rStyle w:val="Collegamentoipertestuale"/>
            <w:noProof/>
          </w:rPr>
          <w:t>3.5</w:t>
        </w:r>
        <w:r w:rsidR="00E70A31" w:rsidRPr="0028175B">
          <w:rPr>
            <w:rFonts w:ascii="Calibri" w:hAnsi="Calibri"/>
            <w:noProof/>
            <w:sz w:val="22"/>
            <w:szCs w:val="22"/>
          </w:rPr>
          <w:tab/>
        </w:r>
        <w:r w:rsidR="00E70A31" w:rsidRPr="008F7181">
          <w:rPr>
            <w:rStyle w:val="Collegamentoipertestuale"/>
            <w:noProof/>
          </w:rPr>
          <w:t>Acquisto di terreni</w:t>
        </w:r>
        <w:r w:rsidR="00E70A31">
          <w:rPr>
            <w:noProof/>
            <w:webHidden/>
          </w:rPr>
          <w:tab/>
        </w:r>
        <w:r w:rsidR="00E4375C">
          <w:rPr>
            <w:noProof/>
            <w:webHidden/>
          </w:rPr>
          <w:fldChar w:fldCharType="begin"/>
        </w:r>
        <w:r w:rsidR="00E70A31">
          <w:rPr>
            <w:noProof/>
            <w:webHidden/>
          </w:rPr>
          <w:instrText xml:space="preserve"> PAGEREF _Toc432090708 \h </w:instrText>
        </w:r>
        <w:r w:rsidR="00E4375C">
          <w:rPr>
            <w:noProof/>
            <w:webHidden/>
          </w:rPr>
        </w:r>
        <w:r w:rsidR="00E4375C">
          <w:rPr>
            <w:noProof/>
            <w:webHidden/>
          </w:rPr>
          <w:fldChar w:fldCharType="separate"/>
        </w:r>
        <w:r w:rsidR="00E70A31">
          <w:rPr>
            <w:noProof/>
            <w:webHidden/>
          </w:rPr>
          <w:t>16</w:t>
        </w:r>
        <w:r w:rsidR="00E4375C">
          <w:rPr>
            <w:noProof/>
            <w:webHidden/>
          </w:rPr>
          <w:fldChar w:fldCharType="end"/>
        </w:r>
      </w:hyperlink>
    </w:p>
    <w:p w:rsidR="00E70A31" w:rsidRPr="0028175B" w:rsidRDefault="00DC5AB5">
      <w:pPr>
        <w:pStyle w:val="Sommario2"/>
        <w:tabs>
          <w:tab w:val="left" w:pos="880"/>
          <w:tab w:val="right" w:leader="dot" w:pos="9628"/>
        </w:tabs>
        <w:rPr>
          <w:rFonts w:ascii="Calibri" w:hAnsi="Calibri"/>
          <w:noProof/>
          <w:sz w:val="22"/>
          <w:szCs w:val="22"/>
        </w:rPr>
      </w:pPr>
      <w:hyperlink w:anchor="_Toc432090709" w:history="1">
        <w:r w:rsidR="00E70A31" w:rsidRPr="008F7181">
          <w:rPr>
            <w:rStyle w:val="Collegamentoipertestuale"/>
            <w:noProof/>
          </w:rPr>
          <w:t xml:space="preserve">3.6 </w:t>
        </w:r>
        <w:r w:rsidR="00E70A31" w:rsidRPr="0028175B">
          <w:rPr>
            <w:rFonts w:ascii="Calibri" w:hAnsi="Calibri"/>
            <w:noProof/>
            <w:sz w:val="22"/>
            <w:szCs w:val="22"/>
          </w:rPr>
          <w:tab/>
        </w:r>
        <w:r w:rsidR="00E70A31" w:rsidRPr="008F7181">
          <w:rPr>
            <w:rStyle w:val="Collegamentoipertestuale"/>
            <w:noProof/>
          </w:rPr>
          <w:t>Acquisto di beni immobili</w:t>
        </w:r>
        <w:r w:rsidR="00E70A31">
          <w:rPr>
            <w:noProof/>
            <w:webHidden/>
          </w:rPr>
          <w:tab/>
        </w:r>
        <w:r w:rsidR="00E4375C">
          <w:rPr>
            <w:noProof/>
            <w:webHidden/>
          </w:rPr>
          <w:fldChar w:fldCharType="begin"/>
        </w:r>
        <w:r w:rsidR="00E70A31">
          <w:rPr>
            <w:noProof/>
            <w:webHidden/>
          </w:rPr>
          <w:instrText xml:space="preserve"> PAGEREF _Toc432090709 \h </w:instrText>
        </w:r>
        <w:r w:rsidR="00E4375C">
          <w:rPr>
            <w:noProof/>
            <w:webHidden/>
          </w:rPr>
        </w:r>
        <w:r w:rsidR="00E4375C">
          <w:rPr>
            <w:noProof/>
            <w:webHidden/>
          </w:rPr>
          <w:fldChar w:fldCharType="separate"/>
        </w:r>
        <w:r w:rsidR="00E70A31">
          <w:rPr>
            <w:noProof/>
            <w:webHidden/>
          </w:rPr>
          <w:t>16</w:t>
        </w:r>
        <w:r w:rsidR="00E4375C">
          <w:rPr>
            <w:noProof/>
            <w:webHidden/>
          </w:rPr>
          <w:fldChar w:fldCharType="end"/>
        </w:r>
      </w:hyperlink>
    </w:p>
    <w:p w:rsidR="00E70A31" w:rsidRPr="0028175B" w:rsidRDefault="00DC5AB5">
      <w:pPr>
        <w:pStyle w:val="Sommario2"/>
        <w:tabs>
          <w:tab w:val="left" w:pos="880"/>
          <w:tab w:val="right" w:leader="dot" w:pos="9628"/>
        </w:tabs>
        <w:rPr>
          <w:rFonts w:ascii="Calibri" w:hAnsi="Calibri"/>
          <w:noProof/>
          <w:sz w:val="22"/>
          <w:szCs w:val="22"/>
        </w:rPr>
      </w:pPr>
      <w:hyperlink w:anchor="_Toc432090710" w:history="1">
        <w:r w:rsidR="00E70A31" w:rsidRPr="008F7181">
          <w:rPr>
            <w:rStyle w:val="Collegamentoipertestuale"/>
            <w:noProof/>
          </w:rPr>
          <w:t xml:space="preserve">3.7 </w:t>
        </w:r>
        <w:r w:rsidR="00E70A31" w:rsidRPr="0028175B">
          <w:rPr>
            <w:rFonts w:ascii="Calibri" w:hAnsi="Calibri"/>
            <w:noProof/>
            <w:sz w:val="22"/>
            <w:szCs w:val="22"/>
          </w:rPr>
          <w:tab/>
        </w:r>
        <w:r w:rsidR="00E70A31" w:rsidRPr="008F7181">
          <w:rPr>
            <w:rStyle w:val="Collegamentoipertestuale"/>
            <w:noProof/>
          </w:rPr>
          <w:t>Fornitura di beni e di servizi senza pagamento in denaro</w:t>
        </w:r>
        <w:r w:rsidR="00E70A31">
          <w:rPr>
            <w:noProof/>
            <w:webHidden/>
          </w:rPr>
          <w:tab/>
        </w:r>
        <w:r w:rsidR="00E4375C">
          <w:rPr>
            <w:noProof/>
            <w:webHidden/>
          </w:rPr>
          <w:fldChar w:fldCharType="begin"/>
        </w:r>
        <w:r w:rsidR="00E70A31">
          <w:rPr>
            <w:noProof/>
            <w:webHidden/>
          </w:rPr>
          <w:instrText xml:space="preserve"> PAGEREF _Toc432090710 \h </w:instrText>
        </w:r>
        <w:r w:rsidR="00E4375C">
          <w:rPr>
            <w:noProof/>
            <w:webHidden/>
          </w:rPr>
        </w:r>
        <w:r w:rsidR="00E4375C">
          <w:rPr>
            <w:noProof/>
            <w:webHidden/>
          </w:rPr>
          <w:fldChar w:fldCharType="separate"/>
        </w:r>
        <w:r w:rsidR="00E70A31">
          <w:rPr>
            <w:noProof/>
            <w:webHidden/>
          </w:rPr>
          <w:t>16</w:t>
        </w:r>
        <w:r w:rsidR="00E4375C">
          <w:rPr>
            <w:noProof/>
            <w:webHidden/>
          </w:rPr>
          <w:fldChar w:fldCharType="end"/>
        </w:r>
      </w:hyperlink>
    </w:p>
    <w:p w:rsidR="00E70A31" w:rsidRPr="0028175B" w:rsidRDefault="00DC5AB5">
      <w:pPr>
        <w:pStyle w:val="Sommario3"/>
        <w:tabs>
          <w:tab w:val="right" w:leader="dot" w:pos="9628"/>
        </w:tabs>
        <w:rPr>
          <w:rFonts w:ascii="Calibri" w:hAnsi="Calibri"/>
          <w:noProof/>
          <w:sz w:val="22"/>
          <w:szCs w:val="22"/>
        </w:rPr>
      </w:pPr>
      <w:hyperlink w:anchor="_Toc432090711" w:history="1">
        <w:r w:rsidR="00E70A31" w:rsidRPr="008F7181">
          <w:rPr>
            <w:rStyle w:val="Collegamentoipertestuale"/>
            <w:iCs/>
            <w:noProof/>
          </w:rPr>
          <w:t>3.8.1 I costi semplificati previsti dal Reg. (UE) n. 1303/2013</w:t>
        </w:r>
        <w:r w:rsidR="00E70A31">
          <w:rPr>
            <w:noProof/>
            <w:webHidden/>
          </w:rPr>
          <w:tab/>
        </w:r>
        <w:r w:rsidR="00E4375C">
          <w:rPr>
            <w:noProof/>
            <w:webHidden/>
          </w:rPr>
          <w:fldChar w:fldCharType="begin"/>
        </w:r>
        <w:r w:rsidR="00E70A31">
          <w:rPr>
            <w:noProof/>
            <w:webHidden/>
          </w:rPr>
          <w:instrText xml:space="preserve"> PAGEREF _Toc432090711 \h </w:instrText>
        </w:r>
        <w:r w:rsidR="00E4375C">
          <w:rPr>
            <w:noProof/>
            <w:webHidden/>
          </w:rPr>
        </w:r>
        <w:r w:rsidR="00E4375C">
          <w:rPr>
            <w:noProof/>
            <w:webHidden/>
          </w:rPr>
          <w:fldChar w:fldCharType="separate"/>
        </w:r>
        <w:r w:rsidR="00E70A31">
          <w:rPr>
            <w:noProof/>
            <w:webHidden/>
          </w:rPr>
          <w:t>20</w:t>
        </w:r>
        <w:r w:rsidR="00E4375C">
          <w:rPr>
            <w:noProof/>
            <w:webHidden/>
          </w:rPr>
          <w:fldChar w:fldCharType="end"/>
        </w:r>
      </w:hyperlink>
    </w:p>
    <w:p w:rsidR="00E70A31" w:rsidRPr="0028175B" w:rsidRDefault="00DC5AB5">
      <w:pPr>
        <w:pStyle w:val="Sommario3"/>
        <w:tabs>
          <w:tab w:val="right" w:leader="dot" w:pos="9628"/>
        </w:tabs>
        <w:rPr>
          <w:rFonts w:ascii="Calibri" w:hAnsi="Calibri"/>
          <w:noProof/>
          <w:sz w:val="22"/>
          <w:szCs w:val="22"/>
        </w:rPr>
      </w:pPr>
      <w:hyperlink w:anchor="_Toc432090712" w:history="1">
        <w:r w:rsidR="00E70A31" w:rsidRPr="008F7181">
          <w:rPr>
            <w:rStyle w:val="Collegamentoipertestuale"/>
            <w:iCs/>
            <w:noProof/>
          </w:rPr>
          <w:t>3.8.2 I costi semplificati previsti dal Reg. (UE) n. 1305/2013</w:t>
        </w:r>
        <w:r w:rsidR="00E70A31">
          <w:rPr>
            <w:noProof/>
            <w:webHidden/>
          </w:rPr>
          <w:tab/>
        </w:r>
        <w:r w:rsidR="00E4375C">
          <w:rPr>
            <w:noProof/>
            <w:webHidden/>
          </w:rPr>
          <w:fldChar w:fldCharType="begin"/>
        </w:r>
        <w:r w:rsidR="00E70A31">
          <w:rPr>
            <w:noProof/>
            <w:webHidden/>
          </w:rPr>
          <w:instrText xml:space="preserve"> PAGEREF _Toc432090712 \h </w:instrText>
        </w:r>
        <w:r w:rsidR="00E4375C">
          <w:rPr>
            <w:noProof/>
            <w:webHidden/>
          </w:rPr>
        </w:r>
        <w:r w:rsidR="00E4375C">
          <w:rPr>
            <w:noProof/>
            <w:webHidden/>
          </w:rPr>
          <w:fldChar w:fldCharType="separate"/>
        </w:r>
        <w:r w:rsidR="00E70A31">
          <w:rPr>
            <w:noProof/>
            <w:webHidden/>
          </w:rPr>
          <w:t>21</w:t>
        </w:r>
        <w:r w:rsidR="00E4375C">
          <w:rPr>
            <w:noProof/>
            <w:webHidden/>
          </w:rPr>
          <w:fldChar w:fldCharType="end"/>
        </w:r>
      </w:hyperlink>
    </w:p>
    <w:p w:rsidR="00E70A31" w:rsidRPr="0028175B" w:rsidRDefault="00DC5AB5">
      <w:pPr>
        <w:pStyle w:val="Sommario3"/>
        <w:tabs>
          <w:tab w:val="right" w:leader="dot" w:pos="9628"/>
        </w:tabs>
        <w:rPr>
          <w:rFonts w:ascii="Calibri" w:hAnsi="Calibri"/>
          <w:noProof/>
          <w:sz w:val="22"/>
          <w:szCs w:val="22"/>
        </w:rPr>
      </w:pPr>
      <w:hyperlink w:anchor="_Toc432090713" w:history="1">
        <w:r w:rsidR="00E70A31" w:rsidRPr="008F7181">
          <w:rPr>
            <w:rStyle w:val="Collegamentoipertestuale"/>
            <w:iCs/>
            <w:noProof/>
          </w:rPr>
          <w:t>3.8.3 Definizione degli importi e metodo di calcolo</w:t>
        </w:r>
        <w:r w:rsidR="00E70A31">
          <w:rPr>
            <w:noProof/>
            <w:webHidden/>
          </w:rPr>
          <w:tab/>
        </w:r>
        <w:r w:rsidR="00E4375C">
          <w:rPr>
            <w:noProof/>
            <w:webHidden/>
          </w:rPr>
          <w:fldChar w:fldCharType="begin"/>
        </w:r>
        <w:r w:rsidR="00E70A31">
          <w:rPr>
            <w:noProof/>
            <w:webHidden/>
          </w:rPr>
          <w:instrText xml:space="preserve"> PAGEREF _Toc432090713 \h </w:instrText>
        </w:r>
        <w:r w:rsidR="00E4375C">
          <w:rPr>
            <w:noProof/>
            <w:webHidden/>
          </w:rPr>
        </w:r>
        <w:r w:rsidR="00E4375C">
          <w:rPr>
            <w:noProof/>
            <w:webHidden/>
          </w:rPr>
          <w:fldChar w:fldCharType="separate"/>
        </w:r>
        <w:r w:rsidR="00E70A31">
          <w:rPr>
            <w:noProof/>
            <w:webHidden/>
          </w:rPr>
          <w:t>21</w:t>
        </w:r>
        <w:r w:rsidR="00E4375C">
          <w:rPr>
            <w:noProof/>
            <w:webHidden/>
          </w:rPr>
          <w:fldChar w:fldCharType="end"/>
        </w:r>
      </w:hyperlink>
    </w:p>
    <w:p w:rsidR="00E70A31" w:rsidRPr="0028175B" w:rsidRDefault="00DC5AB5">
      <w:pPr>
        <w:pStyle w:val="Sommario3"/>
        <w:tabs>
          <w:tab w:val="right" w:leader="dot" w:pos="9628"/>
        </w:tabs>
        <w:rPr>
          <w:rFonts w:ascii="Calibri" w:hAnsi="Calibri"/>
          <w:noProof/>
          <w:sz w:val="22"/>
          <w:szCs w:val="22"/>
        </w:rPr>
      </w:pPr>
      <w:hyperlink w:anchor="_Toc432090714" w:history="1">
        <w:r w:rsidR="00E70A31" w:rsidRPr="008F7181">
          <w:rPr>
            <w:rStyle w:val="Collegamentoipertestuale"/>
            <w:iCs/>
            <w:noProof/>
          </w:rPr>
          <w:t>3.8.4 Perizia attestante l’esattezza e adeguatezza dei calcoli</w:t>
        </w:r>
        <w:r w:rsidR="00E70A31">
          <w:rPr>
            <w:noProof/>
            <w:webHidden/>
          </w:rPr>
          <w:tab/>
        </w:r>
        <w:r w:rsidR="00E4375C">
          <w:rPr>
            <w:noProof/>
            <w:webHidden/>
          </w:rPr>
          <w:fldChar w:fldCharType="begin"/>
        </w:r>
        <w:r w:rsidR="00E70A31">
          <w:rPr>
            <w:noProof/>
            <w:webHidden/>
          </w:rPr>
          <w:instrText xml:space="preserve"> PAGEREF _Toc432090714 \h </w:instrText>
        </w:r>
        <w:r w:rsidR="00E4375C">
          <w:rPr>
            <w:noProof/>
            <w:webHidden/>
          </w:rPr>
        </w:r>
        <w:r w:rsidR="00E4375C">
          <w:rPr>
            <w:noProof/>
            <w:webHidden/>
          </w:rPr>
          <w:fldChar w:fldCharType="separate"/>
        </w:r>
        <w:r w:rsidR="00E70A31">
          <w:rPr>
            <w:noProof/>
            <w:webHidden/>
          </w:rPr>
          <w:t>23</w:t>
        </w:r>
        <w:r w:rsidR="00E4375C">
          <w:rPr>
            <w:noProof/>
            <w:webHidden/>
          </w:rPr>
          <w:fldChar w:fldCharType="end"/>
        </w:r>
      </w:hyperlink>
    </w:p>
    <w:p w:rsidR="00E70A31" w:rsidRPr="0028175B" w:rsidRDefault="00DC5AB5">
      <w:pPr>
        <w:pStyle w:val="Sommario3"/>
        <w:tabs>
          <w:tab w:val="right" w:leader="dot" w:pos="9628"/>
        </w:tabs>
        <w:rPr>
          <w:rFonts w:ascii="Calibri" w:hAnsi="Calibri"/>
          <w:noProof/>
          <w:sz w:val="22"/>
          <w:szCs w:val="22"/>
        </w:rPr>
      </w:pPr>
      <w:hyperlink w:anchor="_Toc432090715" w:history="1">
        <w:r w:rsidR="00E70A31" w:rsidRPr="008F7181">
          <w:rPr>
            <w:rStyle w:val="Collegamentoipertestuale"/>
            <w:iCs/>
            <w:noProof/>
          </w:rPr>
          <w:t>3.8.5 Principi per la gestione e il controllo</w:t>
        </w:r>
        <w:r w:rsidR="00E70A31">
          <w:rPr>
            <w:noProof/>
            <w:webHidden/>
          </w:rPr>
          <w:tab/>
        </w:r>
        <w:r w:rsidR="00E4375C">
          <w:rPr>
            <w:noProof/>
            <w:webHidden/>
          </w:rPr>
          <w:fldChar w:fldCharType="begin"/>
        </w:r>
        <w:r w:rsidR="00E70A31">
          <w:rPr>
            <w:noProof/>
            <w:webHidden/>
          </w:rPr>
          <w:instrText xml:space="preserve"> PAGEREF _Toc432090715 \h </w:instrText>
        </w:r>
        <w:r w:rsidR="00E4375C">
          <w:rPr>
            <w:noProof/>
            <w:webHidden/>
          </w:rPr>
        </w:r>
        <w:r w:rsidR="00E4375C">
          <w:rPr>
            <w:noProof/>
            <w:webHidden/>
          </w:rPr>
          <w:fldChar w:fldCharType="separate"/>
        </w:r>
        <w:r w:rsidR="00E70A31">
          <w:rPr>
            <w:noProof/>
            <w:webHidden/>
          </w:rPr>
          <w:t>24</w:t>
        </w:r>
        <w:r w:rsidR="00E4375C">
          <w:rPr>
            <w:noProof/>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16" w:history="1">
        <w:r w:rsidR="00E70A31" w:rsidRPr="008F7181">
          <w:rPr>
            <w:rStyle w:val="Collegamentoipertestuale"/>
            <w:noProof/>
            <w:snapToGrid w:val="0"/>
          </w:rPr>
          <w:t>3.9 Anticipi</w:t>
        </w:r>
        <w:r w:rsidR="00E70A31">
          <w:rPr>
            <w:noProof/>
            <w:webHidden/>
          </w:rPr>
          <w:tab/>
        </w:r>
        <w:r w:rsidR="00E4375C">
          <w:rPr>
            <w:noProof/>
            <w:webHidden/>
          </w:rPr>
          <w:fldChar w:fldCharType="begin"/>
        </w:r>
        <w:r w:rsidR="00E70A31">
          <w:rPr>
            <w:noProof/>
            <w:webHidden/>
          </w:rPr>
          <w:instrText xml:space="preserve"> PAGEREF _Toc432090716 \h </w:instrText>
        </w:r>
        <w:r w:rsidR="00E4375C">
          <w:rPr>
            <w:noProof/>
            <w:webHidden/>
          </w:rPr>
        </w:r>
        <w:r w:rsidR="00E4375C">
          <w:rPr>
            <w:noProof/>
            <w:webHidden/>
          </w:rPr>
          <w:fldChar w:fldCharType="separate"/>
        </w:r>
        <w:r w:rsidR="00E70A31">
          <w:rPr>
            <w:noProof/>
            <w:webHidden/>
          </w:rPr>
          <w:t>25</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17" w:history="1">
        <w:r w:rsidR="00E70A31" w:rsidRPr="008F7181">
          <w:rPr>
            <w:rStyle w:val="Collegamentoipertestuale"/>
            <w:noProof/>
            <w:snapToGrid w:val="0"/>
          </w:rPr>
          <w:t xml:space="preserve">3.10 </w:t>
        </w:r>
        <w:r w:rsidR="00E70A31" w:rsidRPr="0028175B">
          <w:rPr>
            <w:rFonts w:ascii="Calibri" w:hAnsi="Calibri"/>
            <w:noProof/>
            <w:sz w:val="22"/>
            <w:szCs w:val="22"/>
          </w:rPr>
          <w:tab/>
        </w:r>
        <w:r w:rsidR="00E70A31" w:rsidRPr="008F7181">
          <w:rPr>
            <w:rStyle w:val="Collegamentoipertestuale"/>
            <w:noProof/>
            <w:snapToGrid w:val="0"/>
          </w:rPr>
          <w:t>Disposizioni relative alle variazioni in corso d’opera</w:t>
        </w:r>
        <w:r w:rsidR="00E70A31">
          <w:rPr>
            <w:noProof/>
            <w:webHidden/>
          </w:rPr>
          <w:tab/>
        </w:r>
        <w:r w:rsidR="00E4375C">
          <w:rPr>
            <w:noProof/>
            <w:webHidden/>
          </w:rPr>
          <w:fldChar w:fldCharType="begin"/>
        </w:r>
        <w:r w:rsidR="00E70A31">
          <w:rPr>
            <w:noProof/>
            <w:webHidden/>
          </w:rPr>
          <w:instrText xml:space="preserve"> PAGEREF _Toc432090717 \h </w:instrText>
        </w:r>
        <w:r w:rsidR="00E4375C">
          <w:rPr>
            <w:noProof/>
            <w:webHidden/>
          </w:rPr>
        </w:r>
        <w:r w:rsidR="00E4375C">
          <w:rPr>
            <w:noProof/>
            <w:webHidden/>
          </w:rPr>
          <w:fldChar w:fldCharType="separate"/>
        </w:r>
        <w:r w:rsidR="00E70A31">
          <w:rPr>
            <w:noProof/>
            <w:webHidden/>
          </w:rPr>
          <w:t>26</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18" w:history="1">
        <w:r w:rsidR="00E70A31" w:rsidRPr="008F7181">
          <w:rPr>
            <w:rStyle w:val="Collegamentoipertestuale"/>
            <w:noProof/>
            <w:snapToGrid w:val="0"/>
          </w:rPr>
          <w:t>3.11</w:t>
        </w:r>
        <w:r w:rsidR="00E70A31" w:rsidRPr="0028175B">
          <w:rPr>
            <w:rFonts w:ascii="Calibri" w:hAnsi="Calibri"/>
            <w:noProof/>
            <w:sz w:val="22"/>
            <w:szCs w:val="22"/>
          </w:rPr>
          <w:tab/>
        </w:r>
        <w:r w:rsidR="00E70A31" w:rsidRPr="008F7181">
          <w:rPr>
            <w:rStyle w:val="Collegamentoipertestuale"/>
            <w:noProof/>
            <w:snapToGrid w:val="0"/>
          </w:rPr>
          <w:t>Operazioni realizzate da Enti Pubblici e Organismi di diritto pubblico</w:t>
        </w:r>
        <w:r w:rsidR="00E70A31">
          <w:rPr>
            <w:noProof/>
            <w:webHidden/>
          </w:rPr>
          <w:tab/>
        </w:r>
        <w:r w:rsidR="00E4375C">
          <w:rPr>
            <w:noProof/>
            <w:webHidden/>
          </w:rPr>
          <w:fldChar w:fldCharType="begin"/>
        </w:r>
        <w:r w:rsidR="00E70A31">
          <w:rPr>
            <w:noProof/>
            <w:webHidden/>
          </w:rPr>
          <w:instrText xml:space="preserve"> PAGEREF _Toc432090718 \h </w:instrText>
        </w:r>
        <w:r w:rsidR="00E4375C">
          <w:rPr>
            <w:noProof/>
            <w:webHidden/>
          </w:rPr>
        </w:r>
        <w:r w:rsidR="00E4375C">
          <w:rPr>
            <w:noProof/>
            <w:webHidden/>
          </w:rPr>
          <w:fldChar w:fldCharType="separate"/>
        </w:r>
        <w:r w:rsidR="00E70A31">
          <w:rPr>
            <w:noProof/>
            <w:webHidden/>
          </w:rPr>
          <w:t>26</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19" w:history="1">
        <w:r w:rsidR="00E70A31" w:rsidRPr="008F7181">
          <w:rPr>
            <w:rStyle w:val="Collegamentoipertestuale"/>
            <w:noProof/>
          </w:rPr>
          <w:t>3.12</w:t>
        </w:r>
        <w:r w:rsidR="00E70A31" w:rsidRPr="0028175B">
          <w:rPr>
            <w:rFonts w:ascii="Calibri" w:hAnsi="Calibri"/>
            <w:noProof/>
            <w:sz w:val="22"/>
            <w:szCs w:val="22"/>
          </w:rPr>
          <w:tab/>
        </w:r>
        <w:r w:rsidR="00E70A31" w:rsidRPr="008F7181">
          <w:rPr>
            <w:rStyle w:val="Collegamentoipertestuale"/>
            <w:noProof/>
          </w:rPr>
          <w:t>IVA  e altre imposte e tasse</w:t>
        </w:r>
        <w:r w:rsidR="00E70A31">
          <w:rPr>
            <w:noProof/>
            <w:webHidden/>
          </w:rPr>
          <w:tab/>
        </w:r>
        <w:r w:rsidR="00E4375C">
          <w:rPr>
            <w:noProof/>
            <w:webHidden/>
          </w:rPr>
          <w:fldChar w:fldCharType="begin"/>
        </w:r>
        <w:r w:rsidR="00E70A31">
          <w:rPr>
            <w:noProof/>
            <w:webHidden/>
          </w:rPr>
          <w:instrText xml:space="preserve"> PAGEREF _Toc432090719 \h </w:instrText>
        </w:r>
        <w:r w:rsidR="00E4375C">
          <w:rPr>
            <w:noProof/>
            <w:webHidden/>
          </w:rPr>
        </w:r>
        <w:r w:rsidR="00E4375C">
          <w:rPr>
            <w:noProof/>
            <w:webHidden/>
          </w:rPr>
          <w:fldChar w:fldCharType="separate"/>
        </w:r>
        <w:r w:rsidR="00E70A31">
          <w:rPr>
            <w:noProof/>
            <w:webHidden/>
          </w:rPr>
          <w:t>27</w:t>
        </w:r>
        <w:r w:rsidR="00E4375C">
          <w:rPr>
            <w:noProof/>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20" w:history="1">
        <w:r w:rsidR="00E70A31" w:rsidRPr="008F7181">
          <w:rPr>
            <w:rStyle w:val="Collegamentoipertestuale"/>
            <w:noProof/>
            <w:snapToGrid w:val="0"/>
          </w:rPr>
          <w:t>3.13  Leasing</w:t>
        </w:r>
        <w:r w:rsidR="00E70A31">
          <w:rPr>
            <w:noProof/>
            <w:webHidden/>
          </w:rPr>
          <w:tab/>
        </w:r>
        <w:r w:rsidR="00E4375C">
          <w:rPr>
            <w:noProof/>
            <w:webHidden/>
          </w:rPr>
          <w:fldChar w:fldCharType="begin"/>
        </w:r>
        <w:r w:rsidR="00E70A31">
          <w:rPr>
            <w:noProof/>
            <w:webHidden/>
          </w:rPr>
          <w:instrText xml:space="preserve"> PAGEREF _Toc432090720 \h </w:instrText>
        </w:r>
        <w:r w:rsidR="00E4375C">
          <w:rPr>
            <w:noProof/>
            <w:webHidden/>
          </w:rPr>
        </w:r>
        <w:r w:rsidR="00E4375C">
          <w:rPr>
            <w:noProof/>
            <w:webHidden/>
          </w:rPr>
          <w:fldChar w:fldCharType="separate"/>
        </w:r>
        <w:r w:rsidR="00E70A31">
          <w:rPr>
            <w:noProof/>
            <w:webHidden/>
          </w:rPr>
          <w:t>28</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21" w:history="1">
        <w:r w:rsidR="00E70A31" w:rsidRPr="008F7181">
          <w:rPr>
            <w:rStyle w:val="Collegamentoipertestuale"/>
            <w:noProof/>
            <w:snapToGrid w:val="0"/>
          </w:rPr>
          <w:t>3.14</w:t>
        </w:r>
        <w:r w:rsidR="00E70A31" w:rsidRPr="0028175B">
          <w:rPr>
            <w:rFonts w:ascii="Calibri" w:hAnsi="Calibri"/>
            <w:noProof/>
            <w:sz w:val="22"/>
            <w:szCs w:val="22"/>
          </w:rPr>
          <w:tab/>
        </w:r>
        <w:r w:rsidR="00E70A31" w:rsidRPr="008F7181">
          <w:rPr>
            <w:rStyle w:val="Collegamentoipertestuale"/>
            <w:noProof/>
            <w:snapToGrid w:val="0"/>
          </w:rPr>
          <w:t>Strumenti finanziari</w:t>
        </w:r>
        <w:r w:rsidR="00E70A31">
          <w:rPr>
            <w:noProof/>
            <w:webHidden/>
          </w:rPr>
          <w:tab/>
        </w:r>
        <w:r w:rsidR="00E4375C">
          <w:rPr>
            <w:noProof/>
            <w:webHidden/>
          </w:rPr>
          <w:fldChar w:fldCharType="begin"/>
        </w:r>
        <w:r w:rsidR="00E70A31">
          <w:rPr>
            <w:noProof/>
            <w:webHidden/>
          </w:rPr>
          <w:instrText xml:space="preserve"> PAGEREF _Toc432090721 \h </w:instrText>
        </w:r>
        <w:r w:rsidR="00E4375C">
          <w:rPr>
            <w:noProof/>
            <w:webHidden/>
          </w:rPr>
        </w:r>
        <w:r w:rsidR="00E4375C">
          <w:rPr>
            <w:noProof/>
            <w:webHidden/>
          </w:rPr>
          <w:fldChar w:fldCharType="separate"/>
        </w:r>
        <w:r w:rsidR="00E70A31">
          <w:rPr>
            <w:noProof/>
            <w:webHidden/>
          </w:rPr>
          <w:t>28</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22" w:history="1">
        <w:r w:rsidR="00E70A31" w:rsidRPr="008F7181">
          <w:rPr>
            <w:rStyle w:val="Collegamentoipertestuale"/>
            <w:noProof/>
            <w:snapToGrid w:val="0"/>
          </w:rPr>
          <w:t xml:space="preserve">3.15 </w:t>
        </w:r>
        <w:r w:rsidR="00E70A31" w:rsidRPr="0028175B">
          <w:rPr>
            <w:rFonts w:ascii="Calibri" w:hAnsi="Calibri"/>
            <w:noProof/>
            <w:sz w:val="22"/>
            <w:szCs w:val="22"/>
          </w:rPr>
          <w:tab/>
        </w:r>
        <w:r w:rsidR="00E70A31" w:rsidRPr="008F7181">
          <w:rPr>
            <w:rStyle w:val="Collegamentoipertestuale"/>
            <w:noProof/>
            <w:snapToGrid w:val="0"/>
          </w:rPr>
          <w:t>Spese generali</w:t>
        </w:r>
        <w:r w:rsidR="00E70A31">
          <w:rPr>
            <w:noProof/>
            <w:webHidden/>
          </w:rPr>
          <w:tab/>
        </w:r>
        <w:r w:rsidR="00E4375C">
          <w:rPr>
            <w:noProof/>
            <w:webHidden/>
          </w:rPr>
          <w:fldChar w:fldCharType="begin"/>
        </w:r>
        <w:r w:rsidR="00E70A31">
          <w:rPr>
            <w:noProof/>
            <w:webHidden/>
          </w:rPr>
          <w:instrText xml:space="preserve"> PAGEREF _Toc432090722 \h </w:instrText>
        </w:r>
        <w:r w:rsidR="00E4375C">
          <w:rPr>
            <w:noProof/>
            <w:webHidden/>
          </w:rPr>
        </w:r>
        <w:r w:rsidR="00E4375C">
          <w:rPr>
            <w:noProof/>
            <w:webHidden/>
          </w:rPr>
          <w:fldChar w:fldCharType="separate"/>
        </w:r>
        <w:r w:rsidR="00E70A31">
          <w:rPr>
            <w:noProof/>
            <w:webHidden/>
          </w:rPr>
          <w:t>34</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23" w:history="1">
        <w:r w:rsidR="00E70A31" w:rsidRPr="008F7181">
          <w:rPr>
            <w:rStyle w:val="Collegamentoipertestuale"/>
            <w:noProof/>
          </w:rPr>
          <w:t>3.16</w:t>
        </w:r>
        <w:r w:rsidR="00E70A31" w:rsidRPr="0028175B">
          <w:rPr>
            <w:rFonts w:ascii="Calibri" w:hAnsi="Calibri"/>
            <w:noProof/>
            <w:sz w:val="22"/>
            <w:szCs w:val="22"/>
          </w:rPr>
          <w:tab/>
        </w:r>
        <w:r w:rsidR="00E70A31" w:rsidRPr="008F7181">
          <w:rPr>
            <w:rStyle w:val="Collegamentoipertestuale"/>
            <w:noProof/>
          </w:rPr>
          <w:t>Gestione dei flussi finanziari e modalità di pagamento</w:t>
        </w:r>
        <w:r w:rsidR="00E70A31">
          <w:rPr>
            <w:noProof/>
            <w:webHidden/>
          </w:rPr>
          <w:tab/>
        </w:r>
        <w:r w:rsidR="00E4375C">
          <w:rPr>
            <w:noProof/>
            <w:webHidden/>
          </w:rPr>
          <w:fldChar w:fldCharType="begin"/>
        </w:r>
        <w:r w:rsidR="00E70A31">
          <w:rPr>
            <w:noProof/>
            <w:webHidden/>
          </w:rPr>
          <w:instrText xml:space="preserve"> PAGEREF _Toc432090723 \h </w:instrText>
        </w:r>
        <w:r w:rsidR="00E4375C">
          <w:rPr>
            <w:noProof/>
            <w:webHidden/>
          </w:rPr>
        </w:r>
        <w:r w:rsidR="00E4375C">
          <w:rPr>
            <w:noProof/>
            <w:webHidden/>
          </w:rPr>
          <w:fldChar w:fldCharType="separate"/>
        </w:r>
        <w:r w:rsidR="00E70A31">
          <w:rPr>
            <w:noProof/>
            <w:webHidden/>
          </w:rPr>
          <w:t>35</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24" w:history="1">
        <w:r w:rsidR="00E70A31" w:rsidRPr="008F7181">
          <w:rPr>
            <w:rStyle w:val="Collegamentoipertestuale"/>
            <w:noProof/>
            <w:snapToGrid w:val="0"/>
          </w:rPr>
          <w:t>3.17</w:t>
        </w:r>
        <w:r w:rsidR="00E70A31" w:rsidRPr="0028175B">
          <w:rPr>
            <w:rFonts w:ascii="Calibri" w:hAnsi="Calibri"/>
            <w:noProof/>
            <w:sz w:val="22"/>
            <w:szCs w:val="22"/>
          </w:rPr>
          <w:tab/>
        </w:r>
        <w:r w:rsidR="00E70A31" w:rsidRPr="008F7181">
          <w:rPr>
            <w:rStyle w:val="Collegamentoipertestuale"/>
            <w:noProof/>
            <w:snapToGrid w:val="0"/>
          </w:rPr>
          <w:t>Disposizioni in materia di informazione e pubblicità</w:t>
        </w:r>
        <w:r w:rsidR="00E70A31">
          <w:rPr>
            <w:noProof/>
            <w:webHidden/>
          </w:rPr>
          <w:tab/>
        </w:r>
        <w:r w:rsidR="00E4375C">
          <w:rPr>
            <w:noProof/>
            <w:webHidden/>
          </w:rPr>
          <w:fldChar w:fldCharType="begin"/>
        </w:r>
        <w:r w:rsidR="00E70A31">
          <w:rPr>
            <w:noProof/>
            <w:webHidden/>
          </w:rPr>
          <w:instrText xml:space="preserve"> PAGEREF _Toc432090724 \h </w:instrText>
        </w:r>
        <w:r w:rsidR="00E4375C">
          <w:rPr>
            <w:noProof/>
            <w:webHidden/>
          </w:rPr>
        </w:r>
        <w:r w:rsidR="00E4375C">
          <w:rPr>
            <w:noProof/>
            <w:webHidden/>
          </w:rPr>
          <w:fldChar w:fldCharType="separate"/>
        </w:r>
        <w:r w:rsidR="00E70A31">
          <w:rPr>
            <w:noProof/>
            <w:webHidden/>
          </w:rPr>
          <w:t>36</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25" w:history="1">
        <w:r w:rsidR="00E70A31" w:rsidRPr="008F7181">
          <w:rPr>
            <w:rStyle w:val="Collegamentoipertestuale"/>
            <w:noProof/>
            <w:snapToGrid w:val="0"/>
          </w:rPr>
          <w:t xml:space="preserve">3.18 </w:t>
        </w:r>
        <w:r w:rsidR="00E70A31" w:rsidRPr="0028175B">
          <w:rPr>
            <w:rFonts w:ascii="Calibri" w:hAnsi="Calibri"/>
            <w:noProof/>
            <w:sz w:val="22"/>
            <w:szCs w:val="22"/>
          </w:rPr>
          <w:tab/>
        </w:r>
        <w:r w:rsidR="00E70A31" w:rsidRPr="008F7181">
          <w:rPr>
            <w:rStyle w:val="Collegamentoipertestuale"/>
            <w:noProof/>
            <w:snapToGrid w:val="0"/>
          </w:rPr>
          <w:t>Periodo di non alienabilità e vincoli di destinazione</w:t>
        </w:r>
        <w:r w:rsidR="00E70A31">
          <w:rPr>
            <w:noProof/>
            <w:webHidden/>
          </w:rPr>
          <w:tab/>
        </w:r>
        <w:r w:rsidR="00E4375C">
          <w:rPr>
            <w:noProof/>
            <w:webHidden/>
          </w:rPr>
          <w:fldChar w:fldCharType="begin"/>
        </w:r>
        <w:r w:rsidR="00E70A31">
          <w:rPr>
            <w:noProof/>
            <w:webHidden/>
          </w:rPr>
          <w:instrText xml:space="preserve"> PAGEREF _Toc432090725 \h </w:instrText>
        </w:r>
        <w:r w:rsidR="00E4375C">
          <w:rPr>
            <w:noProof/>
            <w:webHidden/>
          </w:rPr>
        </w:r>
        <w:r w:rsidR="00E4375C">
          <w:rPr>
            <w:noProof/>
            <w:webHidden/>
          </w:rPr>
          <w:fldChar w:fldCharType="separate"/>
        </w:r>
        <w:r w:rsidR="00E70A31">
          <w:rPr>
            <w:noProof/>
            <w:webHidden/>
          </w:rPr>
          <w:t>37</w:t>
        </w:r>
        <w:r w:rsidR="00E4375C">
          <w:rPr>
            <w:noProof/>
            <w:webHidden/>
          </w:rPr>
          <w:fldChar w:fldCharType="end"/>
        </w:r>
      </w:hyperlink>
    </w:p>
    <w:p w:rsidR="00E70A31" w:rsidRPr="0028175B" w:rsidRDefault="00DC5AB5">
      <w:pPr>
        <w:pStyle w:val="Sommario2"/>
        <w:tabs>
          <w:tab w:val="left" w:pos="1100"/>
          <w:tab w:val="right" w:leader="dot" w:pos="9628"/>
        </w:tabs>
        <w:rPr>
          <w:rFonts w:ascii="Calibri" w:hAnsi="Calibri"/>
          <w:noProof/>
          <w:sz w:val="22"/>
          <w:szCs w:val="22"/>
        </w:rPr>
      </w:pPr>
      <w:hyperlink w:anchor="_Toc432090726" w:history="1">
        <w:r w:rsidR="00E70A31" w:rsidRPr="008F7181">
          <w:rPr>
            <w:rStyle w:val="Collegamentoipertestuale"/>
            <w:noProof/>
            <w:snapToGrid w:val="0"/>
          </w:rPr>
          <w:t>3.19</w:t>
        </w:r>
        <w:r w:rsidR="00E70A31" w:rsidRPr="0028175B">
          <w:rPr>
            <w:rFonts w:ascii="Calibri" w:hAnsi="Calibri"/>
            <w:noProof/>
            <w:sz w:val="22"/>
            <w:szCs w:val="22"/>
          </w:rPr>
          <w:tab/>
        </w:r>
        <w:r w:rsidR="00E70A31" w:rsidRPr="008F7181">
          <w:rPr>
            <w:rStyle w:val="Collegamentoipertestuale"/>
            <w:noProof/>
            <w:snapToGrid w:val="0"/>
          </w:rPr>
          <w:t>Assistenza tecnica</w:t>
        </w:r>
        <w:r w:rsidR="00E70A31">
          <w:rPr>
            <w:noProof/>
            <w:webHidden/>
          </w:rPr>
          <w:tab/>
        </w:r>
        <w:r w:rsidR="00E4375C">
          <w:rPr>
            <w:noProof/>
            <w:webHidden/>
          </w:rPr>
          <w:fldChar w:fldCharType="begin"/>
        </w:r>
        <w:r w:rsidR="00E70A31">
          <w:rPr>
            <w:noProof/>
            <w:webHidden/>
          </w:rPr>
          <w:instrText xml:space="preserve"> PAGEREF _Toc432090726 \h </w:instrText>
        </w:r>
        <w:r w:rsidR="00E4375C">
          <w:rPr>
            <w:noProof/>
            <w:webHidden/>
          </w:rPr>
        </w:r>
        <w:r w:rsidR="00E4375C">
          <w:rPr>
            <w:noProof/>
            <w:webHidden/>
          </w:rPr>
          <w:fldChar w:fldCharType="separate"/>
        </w:r>
        <w:r w:rsidR="00E70A31">
          <w:rPr>
            <w:noProof/>
            <w:webHidden/>
          </w:rPr>
          <w:t>38</w:t>
        </w:r>
        <w:r w:rsidR="00E4375C">
          <w:rPr>
            <w:noProof/>
            <w:webHidden/>
          </w:rPr>
          <w:fldChar w:fldCharType="end"/>
        </w:r>
      </w:hyperlink>
    </w:p>
    <w:p w:rsidR="00E70A31" w:rsidRPr="0028175B" w:rsidRDefault="00DC5AB5">
      <w:pPr>
        <w:pStyle w:val="Sommario1"/>
        <w:tabs>
          <w:tab w:val="right" w:leader="dot" w:pos="9628"/>
        </w:tabs>
        <w:rPr>
          <w:rFonts w:ascii="Calibri" w:hAnsi="Calibri"/>
          <w:sz w:val="22"/>
          <w:szCs w:val="22"/>
        </w:rPr>
      </w:pPr>
      <w:hyperlink w:anchor="_Toc432090727" w:history="1">
        <w:r w:rsidR="00E70A31" w:rsidRPr="008F7181">
          <w:rPr>
            <w:rStyle w:val="Collegamentoipertestuale"/>
            <w:iCs/>
            <w:snapToGrid w:val="0"/>
          </w:rPr>
          <w:t>1 – INVESTIMENTI</w:t>
        </w:r>
        <w:r w:rsidR="00E70A31">
          <w:rPr>
            <w:webHidden/>
          </w:rPr>
          <w:tab/>
        </w:r>
        <w:r w:rsidR="00E4375C">
          <w:rPr>
            <w:webHidden/>
          </w:rPr>
          <w:fldChar w:fldCharType="begin"/>
        </w:r>
        <w:r w:rsidR="00E70A31">
          <w:rPr>
            <w:webHidden/>
          </w:rPr>
          <w:instrText xml:space="preserve"> PAGEREF _Toc432090727 \h </w:instrText>
        </w:r>
        <w:r w:rsidR="00E4375C">
          <w:rPr>
            <w:webHidden/>
          </w:rPr>
        </w:r>
        <w:r w:rsidR="00E4375C">
          <w:rPr>
            <w:webHidden/>
          </w:rPr>
          <w:fldChar w:fldCharType="separate"/>
        </w:r>
        <w:r w:rsidR="00E70A31">
          <w:rPr>
            <w:webHidden/>
          </w:rPr>
          <w:t>40</w:t>
        </w:r>
        <w:r w:rsidR="00E4375C">
          <w:rPr>
            <w:webHidden/>
          </w:rPr>
          <w:fldChar w:fldCharType="end"/>
        </w:r>
      </w:hyperlink>
    </w:p>
    <w:p w:rsidR="00E70A31" w:rsidRPr="0028175B" w:rsidRDefault="00DC5AB5">
      <w:pPr>
        <w:pStyle w:val="Sommario1"/>
        <w:tabs>
          <w:tab w:val="right" w:leader="dot" w:pos="9628"/>
        </w:tabs>
        <w:rPr>
          <w:rFonts w:ascii="Calibri" w:hAnsi="Calibri"/>
          <w:sz w:val="22"/>
          <w:szCs w:val="22"/>
        </w:rPr>
      </w:pPr>
      <w:hyperlink w:anchor="_Toc432090728" w:history="1">
        <w:r w:rsidR="00E70A31" w:rsidRPr="008F7181">
          <w:rPr>
            <w:rStyle w:val="Collegamentoipertestuale"/>
          </w:rPr>
          <w:t>2 – FORMAZIONE, INFORMAZIONE E DIFFUSIONE DELLE CONOSCENZE</w:t>
        </w:r>
        <w:r w:rsidR="00E70A31">
          <w:rPr>
            <w:webHidden/>
          </w:rPr>
          <w:tab/>
        </w:r>
        <w:r w:rsidR="00E4375C">
          <w:rPr>
            <w:webHidden/>
          </w:rPr>
          <w:fldChar w:fldCharType="begin"/>
        </w:r>
        <w:r w:rsidR="00E70A31">
          <w:rPr>
            <w:webHidden/>
          </w:rPr>
          <w:instrText xml:space="preserve"> PAGEREF _Toc432090728 \h </w:instrText>
        </w:r>
        <w:r w:rsidR="00E4375C">
          <w:rPr>
            <w:webHidden/>
          </w:rPr>
        </w:r>
        <w:r w:rsidR="00E4375C">
          <w:rPr>
            <w:webHidden/>
          </w:rPr>
          <w:fldChar w:fldCharType="separate"/>
        </w:r>
        <w:r w:rsidR="00E70A31">
          <w:rPr>
            <w:webHidden/>
          </w:rPr>
          <w:t>43</w:t>
        </w:r>
        <w:r w:rsidR="00E4375C">
          <w:rPr>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29" w:history="1">
        <w:r w:rsidR="00E70A31" w:rsidRPr="008F7181">
          <w:rPr>
            <w:rStyle w:val="Collegamentoipertestuale"/>
            <w:rFonts w:ascii="Tahoma" w:hAnsi="Tahoma" w:cs="Tahoma"/>
            <w:noProof/>
          </w:rPr>
          <w:t>3</w:t>
        </w:r>
        <w:r w:rsidR="00E70A31" w:rsidRPr="008F7181">
          <w:rPr>
            <w:rStyle w:val="Collegamentoipertestuale"/>
            <w:noProof/>
          </w:rPr>
          <w:t>- LEADER – SVILUPPO LOCALE DI TIPO PARTECIPATIVO (CLLD)</w:t>
        </w:r>
        <w:r w:rsidR="00E70A31">
          <w:rPr>
            <w:noProof/>
            <w:webHidden/>
          </w:rPr>
          <w:tab/>
        </w:r>
        <w:r w:rsidR="00E4375C">
          <w:rPr>
            <w:noProof/>
            <w:webHidden/>
          </w:rPr>
          <w:fldChar w:fldCharType="begin"/>
        </w:r>
        <w:r w:rsidR="00E70A31">
          <w:rPr>
            <w:noProof/>
            <w:webHidden/>
          </w:rPr>
          <w:instrText xml:space="preserve"> PAGEREF _Toc432090729 \h </w:instrText>
        </w:r>
        <w:r w:rsidR="00E4375C">
          <w:rPr>
            <w:noProof/>
            <w:webHidden/>
          </w:rPr>
        </w:r>
        <w:r w:rsidR="00E4375C">
          <w:rPr>
            <w:noProof/>
            <w:webHidden/>
          </w:rPr>
          <w:fldChar w:fldCharType="separate"/>
        </w:r>
        <w:r w:rsidR="00E70A31">
          <w:rPr>
            <w:noProof/>
            <w:webHidden/>
          </w:rPr>
          <w:t>44</w:t>
        </w:r>
        <w:r w:rsidR="00E4375C">
          <w:rPr>
            <w:noProof/>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30" w:history="1">
        <w:r w:rsidR="00E70A31" w:rsidRPr="008F7181">
          <w:rPr>
            <w:rStyle w:val="Collegamentoipertestuale"/>
            <w:noProof/>
          </w:rPr>
          <w:t>GESTIONE DEI GRUPPI DI AZIONE LOCALE, ACQUISIZIONE DI COMPETENZE, ANIMAZIONE</w:t>
        </w:r>
        <w:r w:rsidR="00E70A31">
          <w:rPr>
            <w:noProof/>
            <w:webHidden/>
          </w:rPr>
          <w:tab/>
        </w:r>
        <w:r w:rsidR="00E4375C">
          <w:rPr>
            <w:noProof/>
            <w:webHidden/>
          </w:rPr>
          <w:fldChar w:fldCharType="begin"/>
        </w:r>
        <w:r w:rsidR="00E70A31">
          <w:rPr>
            <w:noProof/>
            <w:webHidden/>
          </w:rPr>
          <w:instrText xml:space="preserve"> PAGEREF _Toc432090730 \h </w:instrText>
        </w:r>
        <w:r w:rsidR="00E4375C">
          <w:rPr>
            <w:noProof/>
            <w:webHidden/>
          </w:rPr>
        </w:r>
        <w:r w:rsidR="00E4375C">
          <w:rPr>
            <w:noProof/>
            <w:webHidden/>
          </w:rPr>
          <w:fldChar w:fldCharType="separate"/>
        </w:r>
        <w:r w:rsidR="00E70A31">
          <w:rPr>
            <w:noProof/>
            <w:webHidden/>
          </w:rPr>
          <w:t>44</w:t>
        </w:r>
        <w:r w:rsidR="00E4375C">
          <w:rPr>
            <w:noProof/>
            <w:webHidden/>
          </w:rPr>
          <w:fldChar w:fldCharType="end"/>
        </w:r>
      </w:hyperlink>
    </w:p>
    <w:p w:rsidR="00E70A31" w:rsidRPr="0028175B" w:rsidRDefault="00DC5AB5">
      <w:pPr>
        <w:pStyle w:val="Sommario1"/>
        <w:tabs>
          <w:tab w:val="right" w:leader="dot" w:pos="9628"/>
        </w:tabs>
        <w:rPr>
          <w:rFonts w:ascii="Calibri" w:hAnsi="Calibri"/>
          <w:sz w:val="22"/>
          <w:szCs w:val="22"/>
        </w:rPr>
      </w:pPr>
      <w:hyperlink w:anchor="_Toc432090731" w:history="1">
        <w:r w:rsidR="00E70A31" w:rsidRPr="008F7181">
          <w:rPr>
            <w:rStyle w:val="Collegamentoipertestuale"/>
          </w:rPr>
          <w:t>4- COOPERAZIONE INTERTERRITORIALE E TRANSNAZIONALE</w:t>
        </w:r>
        <w:r w:rsidR="00E70A31">
          <w:rPr>
            <w:webHidden/>
          </w:rPr>
          <w:tab/>
        </w:r>
        <w:r w:rsidR="00E4375C">
          <w:rPr>
            <w:webHidden/>
          </w:rPr>
          <w:fldChar w:fldCharType="begin"/>
        </w:r>
        <w:r w:rsidR="00E70A31">
          <w:rPr>
            <w:webHidden/>
          </w:rPr>
          <w:instrText xml:space="preserve"> PAGEREF _Toc432090731 \h </w:instrText>
        </w:r>
        <w:r w:rsidR="00E4375C">
          <w:rPr>
            <w:webHidden/>
          </w:rPr>
        </w:r>
        <w:r w:rsidR="00E4375C">
          <w:rPr>
            <w:webHidden/>
          </w:rPr>
          <w:fldChar w:fldCharType="separate"/>
        </w:r>
        <w:r w:rsidR="00E70A31">
          <w:rPr>
            <w:webHidden/>
          </w:rPr>
          <w:t>46</w:t>
        </w:r>
        <w:r w:rsidR="00E4375C">
          <w:rPr>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32" w:history="1">
        <w:r w:rsidR="00E70A31" w:rsidRPr="008F7181">
          <w:rPr>
            <w:rStyle w:val="Collegamentoipertestuale"/>
            <w:noProof/>
          </w:rPr>
          <w:t>4 Bis – COOPERAZIONE ISTITUZIONALE</w:t>
        </w:r>
        <w:r w:rsidR="00E70A31">
          <w:rPr>
            <w:noProof/>
            <w:webHidden/>
          </w:rPr>
          <w:tab/>
        </w:r>
        <w:r w:rsidR="00E4375C">
          <w:rPr>
            <w:noProof/>
            <w:webHidden/>
          </w:rPr>
          <w:fldChar w:fldCharType="begin"/>
        </w:r>
        <w:r w:rsidR="00E70A31">
          <w:rPr>
            <w:noProof/>
            <w:webHidden/>
          </w:rPr>
          <w:instrText xml:space="preserve"> PAGEREF _Toc432090732 \h </w:instrText>
        </w:r>
        <w:r w:rsidR="00E4375C">
          <w:rPr>
            <w:noProof/>
            <w:webHidden/>
          </w:rPr>
        </w:r>
        <w:r w:rsidR="00E4375C">
          <w:rPr>
            <w:noProof/>
            <w:webHidden/>
          </w:rPr>
          <w:fldChar w:fldCharType="separate"/>
        </w:r>
        <w:r w:rsidR="00E70A31">
          <w:rPr>
            <w:noProof/>
            <w:webHidden/>
          </w:rPr>
          <w:t>48</w:t>
        </w:r>
        <w:r w:rsidR="00E4375C">
          <w:rPr>
            <w:noProof/>
            <w:webHidden/>
          </w:rPr>
          <w:fldChar w:fldCharType="end"/>
        </w:r>
      </w:hyperlink>
    </w:p>
    <w:p w:rsidR="00E70A31" w:rsidRPr="0028175B" w:rsidRDefault="00DC5AB5">
      <w:pPr>
        <w:pStyle w:val="Sommario1"/>
        <w:tabs>
          <w:tab w:val="right" w:leader="dot" w:pos="9628"/>
        </w:tabs>
        <w:rPr>
          <w:rFonts w:ascii="Calibri" w:hAnsi="Calibri"/>
          <w:sz w:val="22"/>
          <w:szCs w:val="22"/>
        </w:rPr>
      </w:pPr>
      <w:hyperlink w:anchor="_Toc432090733" w:history="1">
        <w:r w:rsidR="00E70A31" w:rsidRPr="008F7181">
          <w:rPr>
            <w:rStyle w:val="Collegamentoipertestuale"/>
          </w:rPr>
          <w:t>5 - ASSISTENZA TECNICA</w:t>
        </w:r>
        <w:r w:rsidR="00E70A31">
          <w:rPr>
            <w:webHidden/>
          </w:rPr>
          <w:tab/>
        </w:r>
        <w:r w:rsidR="00E4375C">
          <w:rPr>
            <w:webHidden/>
          </w:rPr>
          <w:fldChar w:fldCharType="begin"/>
        </w:r>
        <w:r w:rsidR="00E70A31">
          <w:rPr>
            <w:webHidden/>
          </w:rPr>
          <w:instrText xml:space="preserve"> PAGEREF _Toc432090733 \h </w:instrText>
        </w:r>
        <w:r w:rsidR="00E4375C">
          <w:rPr>
            <w:webHidden/>
          </w:rPr>
        </w:r>
        <w:r w:rsidR="00E4375C">
          <w:rPr>
            <w:webHidden/>
          </w:rPr>
          <w:fldChar w:fldCharType="separate"/>
        </w:r>
        <w:r w:rsidR="00E70A31">
          <w:rPr>
            <w:webHidden/>
          </w:rPr>
          <w:t>49</w:t>
        </w:r>
        <w:r w:rsidR="00E4375C">
          <w:rPr>
            <w:webHidden/>
          </w:rPr>
          <w:fldChar w:fldCharType="end"/>
        </w:r>
      </w:hyperlink>
    </w:p>
    <w:p w:rsidR="00E70A31" w:rsidRPr="0028175B" w:rsidRDefault="00DC5AB5">
      <w:pPr>
        <w:pStyle w:val="Sommario1"/>
        <w:tabs>
          <w:tab w:val="right" w:leader="dot" w:pos="9628"/>
        </w:tabs>
        <w:rPr>
          <w:rFonts w:ascii="Calibri" w:hAnsi="Calibri"/>
          <w:sz w:val="22"/>
          <w:szCs w:val="22"/>
        </w:rPr>
      </w:pPr>
      <w:hyperlink w:anchor="_Toc432090734" w:history="1">
        <w:r w:rsidR="00E70A31" w:rsidRPr="008F7181">
          <w:rPr>
            <w:rStyle w:val="Collegamentoipertestuale"/>
            <w:snapToGrid w:val="0"/>
            <w:kern w:val="28"/>
          </w:rPr>
          <w:t>6 – FONDI DI GARANZIA</w:t>
        </w:r>
        <w:r w:rsidR="00E70A31">
          <w:rPr>
            <w:webHidden/>
          </w:rPr>
          <w:tab/>
        </w:r>
        <w:r w:rsidR="00E4375C">
          <w:rPr>
            <w:webHidden/>
          </w:rPr>
          <w:fldChar w:fldCharType="begin"/>
        </w:r>
        <w:r w:rsidR="00E70A31">
          <w:rPr>
            <w:webHidden/>
          </w:rPr>
          <w:instrText xml:space="preserve"> PAGEREF _Toc432090734 \h </w:instrText>
        </w:r>
        <w:r w:rsidR="00E4375C">
          <w:rPr>
            <w:webHidden/>
          </w:rPr>
        </w:r>
        <w:r w:rsidR="00E4375C">
          <w:rPr>
            <w:webHidden/>
          </w:rPr>
          <w:fldChar w:fldCharType="separate"/>
        </w:r>
        <w:r w:rsidR="00E70A31">
          <w:rPr>
            <w:webHidden/>
          </w:rPr>
          <w:t>50</w:t>
        </w:r>
        <w:r w:rsidR="00E4375C">
          <w:rPr>
            <w:webHidden/>
          </w:rPr>
          <w:fldChar w:fldCharType="end"/>
        </w:r>
      </w:hyperlink>
    </w:p>
    <w:p w:rsidR="00E70A31" w:rsidRPr="0028175B" w:rsidRDefault="00DC5AB5">
      <w:pPr>
        <w:pStyle w:val="Sommario1"/>
        <w:tabs>
          <w:tab w:val="right" w:leader="dot" w:pos="9628"/>
        </w:tabs>
        <w:rPr>
          <w:rFonts w:ascii="Calibri" w:hAnsi="Calibri"/>
          <w:sz w:val="22"/>
          <w:szCs w:val="22"/>
        </w:rPr>
      </w:pPr>
      <w:hyperlink w:anchor="_Toc432090735" w:history="1">
        <w:r w:rsidR="00E70A31" w:rsidRPr="008F7181">
          <w:rPr>
            <w:rStyle w:val="Collegamentoipertestuale"/>
            <w:snapToGrid w:val="0"/>
            <w:kern w:val="28"/>
          </w:rPr>
          <w:t>7 – FONDI DI CREDITO</w:t>
        </w:r>
        <w:r w:rsidR="00E70A31">
          <w:rPr>
            <w:webHidden/>
          </w:rPr>
          <w:tab/>
        </w:r>
        <w:r w:rsidR="00E4375C">
          <w:rPr>
            <w:webHidden/>
          </w:rPr>
          <w:fldChar w:fldCharType="begin"/>
        </w:r>
        <w:r w:rsidR="00E70A31">
          <w:rPr>
            <w:webHidden/>
          </w:rPr>
          <w:instrText xml:space="preserve"> PAGEREF _Toc432090735 \h </w:instrText>
        </w:r>
        <w:r w:rsidR="00E4375C">
          <w:rPr>
            <w:webHidden/>
          </w:rPr>
        </w:r>
        <w:r w:rsidR="00E4375C">
          <w:rPr>
            <w:webHidden/>
          </w:rPr>
          <w:fldChar w:fldCharType="separate"/>
        </w:r>
        <w:r w:rsidR="00E70A31">
          <w:rPr>
            <w:webHidden/>
          </w:rPr>
          <w:t>53</w:t>
        </w:r>
        <w:r w:rsidR="00E4375C">
          <w:rPr>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36" w:history="1">
        <w:r w:rsidR="00E70A31" w:rsidRPr="008F7181">
          <w:rPr>
            <w:rStyle w:val="Collegamentoipertestuale"/>
            <w:noProof/>
          </w:rPr>
          <w:t>NORMATIVA DI RIFERIMENTO</w:t>
        </w:r>
        <w:r w:rsidR="00E70A31">
          <w:rPr>
            <w:noProof/>
            <w:webHidden/>
          </w:rPr>
          <w:tab/>
        </w:r>
        <w:r w:rsidR="00E4375C">
          <w:rPr>
            <w:noProof/>
            <w:webHidden/>
          </w:rPr>
          <w:fldChar w:fldCharType="begin"/>
        </w:r>
        <w:r w:rsidR="00E70A31">
          <w:rPr>
            <w:noProof/>
            <w:webHidden/>
          </w:rPr>
          <w:instrText xml:space="preserve"> PAGEREF _Toc432090736 \h </w:instrText>
        </w:r>
        <w:r w:rsidR="00E4375C">
          <w:rPr>
            <w:noProof/>
            <w:webHidden/>
          </w:rPr>
        </w:r>
        <w:r w:rsidR="00E4375C">
          <w:rPr>
            <w:noProof/>
            <w:webHidden/>
          </w:rPr>
          <w:fldChar w:fldCharType="separate"/>
        </w:r>
        <w:r w:rsidR="00E70A31">
          <w:rPr>
            <w:noProof/>
            <w:webHidden/>
          </w:rPr>
          <w:t>57</w:t>
        </w:r>
        <w:r w:rsidR="00E4375C">
          <w:rPr>
            <w:noProof/>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38" w:history="1">
        <w:r w:rsidR="00E70A31" w:rsidRPr="008F7181">
          <w:rPr>
            <w:rStyle w:val="Collegamentoipertestuale"/>
            <w:noProof/>
          </w:rPr>
          <w:t>Allegato  1 : Elenco delle misure FEASR che comprendono operazioni di investimento</w:t>
        </w:r>
        <w:r w:rsidR="00E70A31">
          <w:rPr>
            <w:noProof/>
            <w:webHidden/>
          </w:rPr>
          <w:tab/>
        </w:r>
        <w:r w:rsidR="00E4375C">
          <w:rPr>
            <w:noProof/>
            <w:webHidden/>
          </w:rPr>
          <w:fldChar w:fldCharType="begin"/>
        </w:r>
        <w:r w:rsidR="00E70A31">
          <w:rPr>
            <w:noProof/>
            <w:webHidden/>
          </w:rPr>
          <w:instrText xml:space="preserve"> PAGEREF _Toc432090738 \h </w:instrText>
        </w:r>
        <w:r w:rsidR="00E4375C">
          <w:rPr>
            <w:noProof/>
            <w:webHidden/>
          </w:rPr>
        </w:r>
        <w:r w:rsidR="00E4375C">
          <w:rPr>
            <w:noProof/>
            <w:webHidden/>
          </w:rPr>
          <w:fldChar w:fldCharType="separate"/>
        </w:r>
        <w:r w:rsidR="00E70A31">
          <w:rPr>
            <w:noProof/>
            <w:webHidden/>
          </w:rPr>
          <w:t>59</w:t>
        </w:r>
        <w:r w:rsidR="00E4375C">
          <w:rPr>
            <w:noProof/>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40" w:history="1">
        <w:r w:rsidR="00E70A31" w:rsidRPr="008F7181">
          <w:rPr>
            <w:rStyle w:val="Collegamentoipertestuale"/>
            <w:noProof/>
          </w:rPr>
          <w:t>Allegato 2: Applicazione dei costi semplificati (SCO) nel FEASR</w:t>
        </w:r>
        <w:r w:rsidR="00E70A31">
          <w:rPr>
            <w:noProof/>
            <w:webHidden/>
          </w:rPr>
          <w:tab/>
        </w:r>
        <w:r w:rsidR="00E4375C">
          <w:rPr>
            <w:noProof/>
            <w:webHidden/>
          </w:rPr>
          <w:fldChar w:fldCharType="begin"/>
        </w:r>
        <w:r w:rsidR="00E70A31">
          <w:rPr>
            <w:noProof/>
            <w:webHidden/>
          </w:rPr>
          <w:instrText xml:space="preserve"> PAGEREF _Toc432090740 \h </w:instrText>
        </w:r>
        <w:r w:rsidR="00E4375C">
          <w:rPr>
            <w:noProof/>
            <w:webHidden/>
          </w:rPr>
        </w:r>
        <w:r w:rsidR="00E4375C">
          <w:rPr>
            <w:noProof/>
            <w:webHidden/>
          </w:rPr>
          <w:fldChar w:fldCharType="separate"/>
        </w:r>
        <w:r w:rsidR="00E70A31">
          <w:rPr>
            <w:noProof/>
            <w:webHidden/>
          </w:rPr>
          <w:t>64</w:t>
        </w:r>
        <w:r w:rsidR="00E4375C">
          <w:rPr>
            <w:noProof/>
            <w:webHidden/>
          </w:rPr>
          <w:fldChar w:fldCharType="end"/>
        </w:r>
      </w:hyperlink>
    </w:p>
    <w:p w:rsidR="00E70A31" w:rsidRPr="0028175B" w:rsidRDefault="00DC5AB5">
      <w:pPr>
        <w:pStyle w:val="Sommario2"/>
        <w:tabs>
          <w:tab w:val="right" w:leader="dot" w:pos="9628"/>
        </w:tabs>
        <w:rPr>
          <w:rFonts w:ascii="Calibri" w:hAnsi="Calibri"/>
          <w:noProof/>
          <w:sz w:val="22"/>
          <w:szCs w:val="22"/>
        </w:rPr>
      </w:pPr>
      <w:hyperlink w:anchor="_Toc432090741" w:history="1">
        <w:r w:rsidR="00E70A31" w:rsidRPr="008F7181">
          <w:rPr>
            <w:rStyle w:val="Collegamentoipertestuale"/>
            <w:noProof/>
          </w:rPr>
          <w:t>Allegato 3: Applicazione dei costi semplificati per misura e tipo di intervento</w:t>
        </w:r>
        <w:r w:rsidR="00E70A31">
          <w:rPr>
            <w:noProof/>
            <w:webHidden/>
          </w:rPr>
          <w:tab/>
        </w:r>
        <w:r w:rsidR="00E4375C">
          <w:rPr>
            <w:noProof/>
            <w:webHidden/>
          </w:rPr>
          <w:fldChar w:fldCharType="begin"/>
        </w:r>
        <w:r w:rsidR="00E70A31">
          <w:rPr>
            <w:noProof/>
            <w:webHidden/>
          </w:rPr>
          <w:instrText xml:space="preserve"> PAGEREF _Toc432090741 \h </w:instrText>
        </w:r>
        <w:r w:rsidR="00E4375C">
          <w:rPr>
            <w:noProof/>
            <w:webHidden/>
          </w:rPr>
        </w:r>
        <w:r w:rsidR="00E4375C">
          <w:rPr>
            <w:noProof/>
            <w:webHidden/>
          </w:rPr>
          <w:fldChar w:fldCharType="separate"/>
        </w:r>
        <w:r w:rsidR="00E70A31">
          <w:rPr>
            <w:noProof/>
            <w:webHidden/>
          </w:rPr>
          <w:t>68</w:t>
        </w:r>
        <w:r w:rsidR="00E4375C">
          <w:rPr>
            <w:noProof/>
            <w:webHidden/>
          </w:rPr>
          <w:fldChar w:fldCharType="end"/>
        </w:r>
      </w:hyperlink>
    </w:p>
    <w:p w:rsidR="004D4F97" w:rsidRDefault="00E4375C" w:rsidP="00273BE4">
      <w:pPr>
        <w:ind w:right="126"/>
        <w:jc w:val="both"/>
      </w:pPr>
      <w:r w:rsidRPr="007D4A7F">
        <w:fldChar w:fldCharType="end"/>
      </w:r>
    </w:p>
    <w:p w:rsidR="00CB6580" w:rsidRDefault="004D4F97" w:rsidP="000F67D7">
      <w:pPr>
        <w:jc w:val="center"/>
        <w:rPr>
          <w:b/>
          <w:sz w:val="28"/>
          <w:szCs w:val="28"/>
        </w:rPr>
      </w:pPr>
      <w:r>
        <w:br w:type="page"/>
      </w:r>
      <w:r w:rsidR="00380083" w:rsidRPr="00D36635">
        <w:rPr>
          <w:b/>
          <w:sz w:val="28"/>
          <w:szCs w:val="28"/>
        </w:rPr>
        <w:lastRenderedPageBreak/>
        <w:t>D</w:t>
      </w:r>
      <w:r w:rsidR="00505AB1" w:rsidRPr="00D36635">
        <w:rPr>
          <w:b/>
          <w:sz w:val="28"/>
          <w:szCs w:val="28"/>
        </w:rPr>
        <w:t>EFINIZIONI</w:t>
      </w:r>
    </w:p>
    <w:p w:rsidR="00967250" w:rsidRDefault="00967250" w:rsidP="00273BE4">
      <w:pPr>
        <w:ind w:right="126"/>
        <w:jc w:val="center"/>
        <w:rPr>
          <w:b/>
          <w:sz w:val="28"/>
          <w:szCs w:val="28"/>
        </w:rPr>
      </w:pPr>
    </w:p>
    <w:p w:rsidR="00AD381F" w:rsidRDefault="001F0E9F" w:rsidP="00643670">
      <w:pPr>
        <w:tabs>
          <w:tab w:val="left" w:pos="2880"/>
        </w:tabs>
        <w:spacing w:before="120"/>
        <w:ind w:left="2880" w:right="126" w:hanging="2880"/>
        <w:jc w:val="both"/>
      </w:pPr>
      <w:r w:rsidRPr="00FD356C">
        <w:rPr>
          <w:b/>
        </w:rPr>
        <w:t>Normativa di riferimento</w:t>
      </w:r>
      <w:r w:rsidR="005D19D6">
        <w:t xml:space="preserve"> </w:t>
      </w:r>
      <w:r>
        <w:t xml:space="preserve"> </w:t>
      </w:r>
      <w:r>
        <w:tab/>
      </w:r>
      <w:r w:rsidR="00643670">
        <w:t xml:space="preserve">Ai fini del presente </w:t>
      </w:r>
      <w:r w:rsidR="00AD381F">
        <w:t>documento</w:t>
      </w:r>
      <w:r w:rsidR="00643670">
        <w:t xml:space="preserve">, si applicano le definizioni di </w:t>
      </w:r>
      <w:r w:rsidR="00AD381F">
        <w:t>cui all'art</w:t>
      </w:r>
      <w:r w:rsidR="00F55BEE">
        <w:t>.</w:t>
      </w:r>
      <w:r w:rsidR="00AD381F">
        <w:t xml:space="preserve"> 2</w:t>
      </w:r>
      <w:r w:rsidR="00AD381F" w:rsidRPr="00AD381F">
        <w:t xml:space="preserve"> </w:t>
      </w:r>
      <w:r w:rsidR="00AD381F">
        <w:t>del Reg. (UE) n. 1303/2013 e all’art</w:t>
      </w:r>
      <w:r w:rsidR="00F55BEE">
        <w:t>.</w:t>
      </w:r>
      <w:r w:rsidR="00AD381F">
        <w:t xml:space="preserve"> 2 Reg. (UE) n. 1305/2013</w:t>
      </w:r>
      <w:r w:rsidR="001A5944">
        <w:t>.</w:t>
      </w:r>
      <w:r w:rsidR="00AD381F">
        <w:t xml:space="preserve"> </w:t>
      </w:r>
    </w:p>
    <w:p w:rsidR="00093CCB" w:rsidRDefault="00093CCB" w:rsidP="00273BE4">
      <w:pPr>
        <w:tabs>
          <w:tab w:val="left" w:pos="2880"/>
        </w:tabs>
        <w:spacing w:before="120"/>
        <w:ind w:left="2880" w:right="126" w:hanging="2880"/>
        <w:jc w:val="both"/>
      </w:pPr>
      <w:r>
        <w:rPr>
          <w:b/>
        </w:rPr>
        <w:t xml:space="preserve">Primo pilastro della Pac </w:t>
      </w:r>
      <w:r>
        <w:tab/>
      </w:r>
      <w:r w:rsidR="00CD47AE">
        <w:t xml:space="preserve">Insieme di misure previste dalla Politica agricola comune </w:t>
      </w:r>
      <w:r w:rsidR="00B8567E">
        <w:t>finalizzate al sostegno diretto del reddito degli agricoltori</w:t>
      </w:r>
      <w:r w:rsidR="006771ED">
        <w:t xml:space="preserve"> e dei mercati</w:t>
      </w:r>
      <w:r w:rsidR="00B8567E">
        <w:t>.</w:t>
      </w:r>
    </w:p>
    <w:p w:rsidR="00C56C4F" w:rsidRDefault="00C56C4F" w:rsidP="00273BE4">
      <w:pPr>
        <w:tabs>
          <w:tab w:val="left" w:pos="2880"/>
        </w:tabs>
        <w:spacing w:before="120"/>
        <w:ind w:left="2880" w:right="126" w:hanging="2880"/>
        <w:jc w:val="both"/>
      </w:pPr>
      <w:r w:rsidRPr="00C56C4F">
        <w:rPr>
          <w:b/>
        </w:rPr>
        <w:t>Secondo</w:t>
      </w:r>
      <w:r>
        <w:rPr>
          <w:b/>
        </w:rPr>
        <w:t xml:space="preserve"> </w:t>
      </w:r>
      <w:r w:rsidRPr="00C56C4F">
        <w:rPr>
          <w:b/>
        </w:rPr>
        <w:t>pilastro della Pac</w:t>
      </w:r>
      <w:r w:rsidRPr="00C56C4F">
        <w:t xml:space="preserve"> </w:t>
      </w:r>
      <w:r w:rsidR="00D81AD5">
        <w:tab/>
        <w:t>Insieme di interventi finalizzati all’attuazione del</w:t>
      </w:r>
      <w:r w:rsidRPr="00C56C4F">
        <w:t>la politica d</w:t>
      </w:r>
      <w:r w:rsidR="00D81AD5">
        <w:t>i</w:t>
      </w:r>
      <w:r w:rsidRPr="00C56C4F">
        <w:t xml:space="preserve"> sviluppo rurale. </w:t>
      </w:r>
    </w:p>
    <w:p w:rsidR="00FA11E3" w:rsidRDefault="00FA11E3" w:rsidP="00FA11E3">
      <w:pPr>
        <w:tabs>
          <w:tab w:val="left" w:pos="2880"/>
        </w:tabs>
        <w:spacing w:before="120"/>
        <w:ind w:left="2880" w:right="126" w:hanging="2880"/>
        <w:jc w:val="both"/>
      </w:pPr>
      <w:r w:rsidRPr="00FA11E3">
        <w:rPr>
          <w:b/>
        </w:rPr>
        <w:t>FEASR</w:t>
      </w:r>
      <w:r>
        <w:tab/>
        <w:t>Fondo europeo agricolo per lo sviluppo rurale</w:t>
      </w:r>
    </w:p>
    <w:p w:rsidR="00FA11E3" w:rsidRDefault="00FA11E3" w:rsidP="00FA11E3">
      <w:pPr>
        <w:tabs>
          <w:tab w:val="left" w:pos="2880"/>
        </w:tabs>
        <w:spacing w:before="120"/>
        <w:ind w:left="2880" w:right="126" w:hanging="2880"/>
        <w:jc w:val="both"/>
      </w:pPr>
      <w:r w:rsidRPr="00FA11E3">
        <w:rPr>
          <w:b/>
        </w:rPr>
        <w:t>Fondi SIE</w:t>
      </w:r>
      <w:r>
        <w:tab/>
        <w:t>Fondi strutturali di investimento europei</w:t>
      </w:r>
    </w:p>
    <w:p w:rsidR="000B06CE" w:rsidRPr="00D643D4" w:rsidRDefault="000B06CE" w:rsidP="00FA11E3">
      <w:pPr>
        <w:tabs>
          <w:tab w:val="left" w:pos="2880"/>
        </w:tabs>
        <w:spacing w:before="120"/>
        <w:ind w:left="2880" w:right="126" w:hanging="2880"/>
        <w:jc w:val="both"/>
      </w:pPr>
      <w:r>
        <w:rPr>
          <w:b/>
        </w:rPr>
        <w:t>AdP</w:t>
      </w:r>
      <w:r>
        <w:rPr>
          <w:b/>
        </w:rPr>
        <w:tab/>
      </w:r>
      <w:r w:rsidRPr="00D643D4">
        <w:t>Accordo di Partenariato</w:t>
      </w:r>
    </w:p>
    <w:p w:rsidR="00FA11E3" w:rsidRDefault="00FA11E3" w:rsidP="00FA11E3">
      <w:pPr>
        <w:tabs>
          <w:tab w:val="left" w:pos="2880"/>
        </w:tabs>
        <w:spacing w:before="120"/>
        <w:ind w:left="2880" w:right="126" w:hanging="2880"/>
        <w:jc w:val="both"/>
      </w:pPr>
      <w:r w:rsidRPr="00FA11E3">
        <w:rPr>
          <w:b/>
        </w:rPr>
        <w:t>Gal</w:t>
      </w:r>
      <w:r>
        <w:tab/>
        <w:t>Gruppo d’azione locale</w:t>
      </w:r>
    </w:p>
    <w:p w:rsidR="00FA11E3" w:rsidRDefault="00FA11E3" w:rsidP="00FA11E3">
      <w:pPr>
        <w:tabs>
          <w:tab w:val="left" w:pos="2880"/>
        </w:tabs>
        <w:spacing w:before="120"/>
        <w:ind w:left="2880" w:right="126" w:hanging="2880"/>
        <w:jc w:val="both"/>
      </w:pPr>
      <w:r w:rsidRPr="00FA11E3">
        <w:rPr>
          <w:b/>
        </w:rPr>
        <w:t>Pac</w:t>
      </w:r>
      <w:r>
        <w:tab/>
        <w:t>Politica agricola comune</w:t>
      </w:r>
    </w:p>
    <w:p w:rsidR="00FA11E3" w:rsidRDefault="00FA11E3" w:rsidP="00FA11E3">
      <w:pPr>
        <w:tabs>
          <w:tab w:val="left" w:pos="2880"/>
        </w:tabs>
        <w:spacing w:before="120"/>
        <w:ind w:left="2880" w:right="126" w:hanging="2880"/>
        <w:jc w:val="both"/>
      </w:pPr>
      <w:r w:rsidRPr="00FA11E3">
        <w:rPr>
          <w:b/>
        </w:rPr>
        <w:t>Psr</w:t>
      </w:r>
      <w:r>
        <w:tab/>
        <w:t>Programma di sviluppo rurale</w:t>
      </w:r>
    </w:p>
    <w:p w:rsidR="00FA11E3" w:rsidRDefault="00FA11E3" w:rsidP="00FA11E3">
      <w:pPr>
        <w:tabs>
          <w:tab w:val="left" w:pos="2880"/>
        </w:tabs>
        <w:spacing w:before="120"/>
        <w:ind w:left="2880" w:right="126" w:hanging="2880"/>
        <w:jc w:val="both"/>
      </w:pPr>
      <w:r w:rsidRPr="00FA11E3">
        <w:rPr>
          <w:b/>
        </w:rPr>
        <w:t>Psl</w:t>
      </w:r>
      <w:r>
        <w:tab/>
        <w:t>Piano di sviluppo locale</w:t>
      </w:r>
    </w:p>
    <w:p w:rsidR="007C7F4A" w:rsidRDefault="007C7F4A" w:rsidP="00FA11E3">
      <w:pPr>
        <w:tabs>
          <w:tab w:val="left" w:pos="2880"/>
        </w:tabs>
        <w:spacing w:before="120"/>
        <w:ind w:left="2880" w:right="126" w:hanging="2880"/>
        <w:jc w:val="both"/>
      </w:pPr>
    </w:p>
    <w:p w:rsidR="00154E57" w:rsidRDefault="0059670C" w:rsidP="003F6A88">
      <w:pPr>
        <w:spacing w:before="120"/>
        <w:ind w:left="2880" w:right="126" w:hanging="2880"/>
        <w:jc w:val="both"/>
      </w:pPr>
      <w:r w:rsidRPr="00E412B4">
        <w:rPr>
          <w:b/>
        </w:rPr>
        <w:t>Progett</w:t>
      </w:r>
      <w:r w:rsidR="001E3FBC" w:rsidRPr="00E412B4">
        <w:rPr>
          <w:b/>
        </w:rPr>
        <w:t>o</w:t>
      </w:r>
      <w:r w:rsidRPr="00E412B4">
        <w:rPr>
          <w:b/>
        </w:rPr>
        <w:t xml:space="preserve"> integrat</w:t>
      </w:r>
      <w:r w:rsidR="001E3FBC" w:rsidRPr="00E412B4">
        <w:rPr>
          <w:b/>
        </w:rPr>
        <w:t>o</w:t>
      </w:r>
      <w:r w:rsidR="00D47697">
        <w:t xml:space="preserve">         </w:t>
      </w:r>
      <w:r w:rsidR="003C1B28">
        <w:tab/>
      </w:r>
      <w:r w:rsidR="005579A2">
        <w:t>Progetto presentato</w:t>
      </w:r>
      <w:r w:rsidR="00C271A0" w:rsidRPr="00EA213D">
        <w:t xml:space="preserve"> da un singolo </w:t>
      </w:r>
      <w:r w:rsidR="003F6A88">
        <w:t xml:space="preserve">beneficiario </w:t>
      </w:r>
      <w:r w:rsidR="003C1B28">
        <w:t>ma che preved</w:t>
      </w:r>
      <w:r w:rsidR="005579A2">
        <w:t>e</w:t>
      </w:r>
      <w:r w:rsidR="003C1B28">
        <w:t xml:space="preserve"> </w:t>
      </w:r>
      <w:r w:rsidR="005579A2">
        <w:t>il</w:t>
      </w:r>
      <w:r w:rsidR="003C1B28">
        <w:t xml:space="preserve"> </w:t>
      </w:r>
      <w:r w:rsidR="00C271A0" w:rsidRPr="00EA213D">
        <w:t xml:space="preserve">sostegno a titolo di più misure (Reg. </w:t>
      </w:r>
      <w:r w:rsidR="005579A2">
        <w:t>(</w:t>
      </w:r>
      <w:r w:rsidR="00C271A0" w:rsidRPr="00EA213D">
        <w:t>UE</w:t>
      </w:r>
      <w:r w:rsidR="005579A2">
        <w:t>)</w:t>
      </w:r>
      <w:r w:rsidR="00C271A0" w:rsidRPr="00EA213D">
        <w:t xml:space="preserve"> n. 1305</w:t>
      </w:r>
      <w:r w:rsidR="005579A2">
        <w:t>/2013</w:t>
      </w:r>
      <w:r w:rsidR="00F55BEE">
        <w:t>,</w:t>
      </w:r>
      <w:r w:rsidR="00C271A0" w:rsidRPr="00EA213D">
        <w:t xml:space="preserve"> art. 17, comma 3)</w:t>
      </w:r>
      <w:r w:rsidR="005579A2">
        <w:t>.</w:t>
      </w:r>
    </w:p>
    <w:p w:rsidR="006748D2" w:rsidRDefault="006748D2" w:rsidP="003F6A88">
      <w:pPr>
        <w:spacing w:before="120"/>
        <w:ind w:left="2880" w:right="126" w:hanging="2880"/>
        <w:jc w:val="both"/>
      </w:pPr>
    </w:p>
    <w:p w:rsidR="006748D2" w:rsidRPr="0088766B" w:rsidRDefault="006748D2" w:rsidP="0088766B">
      <w:pPr>
        <w:spacing w:before="120"/>
        <w:ind w:left="2880" w:right="126" w:hanging="2880"/>
        <w:jc w:val="both"/>
        <w:rPr>
          <w:b/>
        </w:rPr>
      </w:pPr>
      <w:r w:rsidRPr="00D643D4">
        <w:rPr>
          <w:b/>
        </w:rPr>
        <w:t>Investimento collettivo</w:t>
      </w:r>
      <w:r>
        <w:tab/>
      </w:r>
      <w:r w:rsidR="00D643D4" w:rsidRPr="00D643D4">
        <w:t>Investimento materiale e/o immateriale realizzato congiuntamente da una pluralità di soggetti e destinato a un utilizzo comune, ivi compreso l’investimento collegato alla fusione di organizzazioni di produttori (Reg. (UE) n. 1305/2013, art. 17, comma 3).</w:t>
      </w:r>
    </w:p>
    <w:p w:rsidR="0088766B" w:rsidRDefault="006748D2" w:rsidP="007C7F4A">
      <w:pPr>
        <w:spacing w:before="120"/>
        <w:ind w:left="2880" w:right="125" w:hanging="2880"/>
        <w:jc w:val="both"/>
        <w:rPr>
          <w:b/>
        </w:rPr>
      </w:pPr>
      <w:r w:rsidRPr="006748D2">
        <w:rPr>
          <w:b/>
        </w:rPr>
        <w:t xml:space="preserve">Combinazione di </w:t>
      </w:r>
      <w:r w:rsidR="0088766B">
        <w:rPr>
          <w:b/>
        </w:rPr>
        <w:tab/>
      </w:r>
    </w:p>
    <w:p w:rsidR="007C7F4A" w:rsidRPr="00B52D84" w:rsidRDefault="00D643D4" w:rsidP="007C7F4A">
      <w:pPr>
        <w:ind w:left="2880" w:right="125" w:hanging="2880"/>
        <w:jc w:val="both"/>
        <w:rPr>
          <w:rFonts w:ascii="Arial" w:hAnsi="Arial" w:cs="Arial"/>
          <w:bCs/>
        </w:rPr>
      </w:pPr>
      <w:r>
        <w:rPr>
          <w:b/>
        </w:rPr>
        <w:t>impegni/misure</w:t>
      </w:r>
      <w:r w:rsidR="006748D2">
        <w:tab/>
      </w:r>
      <w:r w:rsidR="007C7F4A" w:rsidRPr="007C7F4A">
        <w:t>Combinazione di impegni e combinazione di misure/tipi di operazioni  di cui all’Articolo 11 del Reg. 808/2014. Gli impegni  previsti dagli articoli 28, 29  e 34  del regolamento (UE) n. 1305/2013, possono essere combinati a condizione che siano tra loro complementari e compatibili.</w:t>
      </w:r>
    </w:p>
    <w:p w:rsidR="003F6A88" w:rsidRPr="003F6A88" w:rsidRDefault="003F6A88" w:rsidP="007C7F4A">
      <w:pPr>
        <w:jc w:val="both"/>
        <w:rPr>
          <w:b/>
        </w:rPr>
      </w:pPr>
    </w:p>
    <w:p w:rsidR="0095026E" w:rsidRDefault="002A0C21" w:rsidP="003C1B28">
      <w:pPr>
        <w:spacing w:before="120"/>
        <w:ind w:left="2880" w:right="125" w:hanging="2880"/>
        <w:jc w:val="both"/>
        <w:rPr>
          <w:i/>
          <w:iCs/>
        </w:rPr>
      </w:pPr>
      <w:r>
        <w:rPr>
          <w:b/>
          <w:snapToGrid w:val="0"/>
        </w:rPr>
        <w:t>Bando</w:t>
      </w:r>
      <w:r>
        <w:rPr>
          <w:b/>
          <w:snapToGrid w:val="0"/>
        </w:rPr>
        <w:tab/>
      </w:r>
      <w:r w:rsidRPr="00807B87">
        <w:rPr>
          <w:iCs/>
        </w:rPr>
        <w:t xml:space="preserve">Atto formale con il quale l’Autorità competente indice l'apertura dei termini per la presentazione delle domande di aiuto per partecipare ad un regime di sostegno previsto da un intervento. Il bando indica le modalità di accesso, quelle di selezione, </w:t>
      </w:r>
      <w:r w:rsidR="001D4B37">
        <w:rPr>
          <w:iCs/>
        </w:rPr>
        <w:t>e gli altri obblighi</w:t>
      </w:r>
      <w:r w:rsidR="00FA11E3">
        <w:rPr>
          <w:iCs/>
        </w:rPr>
        <w:t>,</w:t>
      </w:r>
      <w:r w:rsidRPr="00807B87">
        <w:rPr>
          <w:iCs/>
        </w:rPr>
        <w:t>i fondi disponibili, le percentuali di contribuzioni e i vincoli e le limitazioni.</w:t>
      </w:r>
      <w:r w:rsidR="0095026E">
        <w:rPr>
          <w:iCs/>
        </w:rPr>
        <w:t xml:space="preserve"> </w:t>
      </w:r>
    </w:p>
    <w:p w:rsidR="005F59B4" w:rsidRDefault="005F59B4" w:rsidP="004D7111">
      <w:pPr>
        <w:spacing w:before="120"/>
        <w:ind w:left="2880" w:right="126" w:hanging="2880"/>
        <w:jc w:val="both"/>
      </w:pPr>
      <w:r>
        <w:rPr>
          <w:b/>
        </w:rPr>
        <w:t xml:space="preserve">Autorità di gestione </w:t>
      </w:r>
      <w:r w:rsidR="003C1B28">
        <w:rPr>
          <w:b/>
        </w:rPr>
        <w:tab/>
      </w:r>
      <w:r w:rsidR="005579A2" w:rsidRPr="006F694F">
        <w:t>E</w:t>
      </w:r>
      <w:r w:rsidR="00C56C4F" w:rsidRPr="00C56C4F">
        <w:t>nte pubblico o privato che opera a livello nazionale</w:t>
      </w:r>
      <w:r w:rsidR="00AD0AB6">
        <w:t>,</w:t>
      </w:r>
      <w:r w:rsidR="00C56C4F" w:rsidRPr="00C56C4F">
        <w:t xml:space="preserve"> regionale</w:t>
      </w:r>
      <w:r w:rsidR="00AD0AB6">
        <w:t xml:space="preserve"> e delle province autonome</w:t>
      </w:r>
      <w:r w:rsidR="00C56C4F" w:rsidRPr="00C56C4F">
        <w:t xml:space="preserve">, incaricato della gestione </w:t>
      </w:r>
      <w:r w:rsidR="00310FC8">
        <w:t xml:space="preserve">e dell’attuazione </w:t>
      </w:r>
      <w:r w:rsidR="00D86231">
        <w:t>dell’intervento</w:t>
      </w:r>
      <w:r w:rsidR="00C56C4F" w:rsidRPr="00C56C4F">
        <w:t xml:space="preserve"> in questione, ovvero lo Stato membro stesso nell’esercizio di tale funzione</w:t>
      </w:r>
      <w:r w:rsidR="00310FC8">
        <w:t>, o i soggetti da esso delegati</w:t>
      </w:r>
      <w:r w:rsidR="00C56C4F" w:rsidRPr="00C56C4F">
        <w:t>.</w:t>
      </w:r>
      <w:r w:rsidR="005579A2" w:rsidRPr="005579A2">
        <w:t xml:space="preserve"> </w:t>
      </w:r>
      <w:r w:rsidR="005579A2" w:rsidRPr="00EA213D">
        <w:t xml:space="preserve">(Reg. </w:t>
      </w:r>
      <w:r w:rsidR="005579A2">
        <w:t>(</w:t>
      </w:r>
      <w:r w:rsidR="005579A2" w:rsidRPr="00EA213D">
        <w:t>UE</w:t>
      </w:r>
      <w:r w:rsidR="005579A2">
        <w:t>)</w:t>
      </w:r>
      <w:r w:rsidR="005579A2" w:rsidRPr="00EA213D">
        <w:t xml:space="preserve"> n. 1305</w:t>
      </w:r>
      <w:r w:rsidR="005579A2">
        <w:t>/2013,</w:t>
      </w:r>
      <w:r w:rsidR="005579A2" w:rsidRPr="00EA213D">
        <w:t xml:space="preserve"> </w:t>
      </w:r>
      <w:r w:rsidR="005579A2" w:rsidRPr="005579A2">
        <w:t>art</w:t>
      </w:r>
      <w:r w:rsidR="005579A2">
        <w:t>t</w:t>
      </w:r>
      <w:r w:rsidR="005579A2" w:rsidRPr="005579A2">
        <w:t xml:space="preserve">. </w:t>
      </w:r>
      <w:r w:rsidR="005579A2">
        <w:t xml:space="preserve">65 e </w:t>
      </w:r>
      <w:r w:rsidR="005579A2" w:rsidRPr="005579A2">
        <w:t>66</w:t>
      </w:r>
      <w:r w:rsidR="005579A2">
        <w:t>).</w:t>
      </w:r>
    </w:p>
    <w:p w:rsidR="00B27257" w:rsidRDefault="00B27257" w:rsidP="00273BE4">
      <w:pPr>
        <w:tabs>
          <w:tab w:val="left" w:pos="2880"/>
        </w:tabs>
        <w:spacing w:before="120"/>
        <w:ind w:left="2880" w:right="126" w:hanging="2880"/>
        <w:jc w:val="both"/>
      </w:pPr>
      <w:r>
        <w:rPr>
          <w:b/>
        </w:rPr>
        <w:lastRenderedPageBreak/>
        <w:t>Autorità competente</w:t>
      </w:r>
      <w:r>
        <w:rPr>
          <w:b/>
        </w:rPr>
        <w:tab/>
      </w:r>
      <w:r w:rsidRPr="00807B87">
        <w:t xml:space="preserve">Autorità o organismo delegato dall’Autorità di gestione o investito di competenze dalla Regione o Provincia autonoma per  adempiere agli obblighi derivanti dall’attuazione di un </w:t>
      </w:r>
      <w:r w:rsidR="00D86231">
        <w:t>intervento</w:t>
      </w:r>
      <w:r w:rsidRPr="00807B87">
        <w:t>.</w:t>
      </w:r>
    </w:p>
    <w:p w:rsidR="002B482E" w:rsidRDefault="00645470" w:rsidP="0088766B">
      <w:pPr>
        <w:tabs>
          <w:tab w:val="left" w:pos="2880"/>
        </w:tabs>
        <w:spacing w:before="120"/>
        <w:ind w:left="2880" w:right="126" w:hanging="2880"/>
        <w:jc w:val="both"/>
      </w:pPr>
      <w:r>
        <w:rPr>
          <w:b/>
        </w:rPr>
        <w:t>Organismo pagatore</w:t>
      </w:r>
      <w:r w:rsidR="005009BA">
        <w:tab/>
      </w:r>
      <w:r w:rsidR="007773C0" w:rsidRPr="007773C0">
        <w:t>Gli organismi pagatori sono servizi e organismi degli Stati membri, incaricati di gestire e controllare le spese di cui all'articolo 4, paragrafo 1</w:t>
      </w:r>
      <w:r w:rsidR="005A7FC8">
        <w:t xml:space="preserve"> </w:t>
      </w:r>
      <w:r w:rsidR="006F694F">
        <w:t>(spese FEAGA)</w:t>
      </w:r>
      <w:r w:rsidR="007773C0" w:rsidRPr="007773C0">
        <w:t>, e all'art</w:t>
      </w:r>
      <w:r w:rsidR="00F55BEE">
        <w:t>.</w:t>
      </w:r>
      <w:r w:rsidR="007773C0" w:rsidRPr="007773C0">
        <w:t xml:space="preserve"> 5</w:t>
      </w:r>
      <w:r w:rsidR="006F694F">
        <w:t xml:space="preserve"> (spese FEASR)</w:t>
      </w:r>
      <w:r w:rsidR="007773C0" w:rsidRPr="007773C0">
        <w:t xml:space="preserve">. </w:t>
      </w:r>
      <w:r w:rsidR="006F694F">
        <w:t>(art. 7 del Reg. (UE) n. 1306/2013).</w:t>
      </w:r>
    </w:p>
    <w:p w:rsidR="0088766B" w:rsidRPr="0088766B" w:rsidRDefault="0088766B" w:rsidP="0088766B">
      <w:pPr>
        <w:tabs>
          <w:tab w:val="left" w:pos="2880"/>
        </w:tabs>
        <w:spacing w:before="120"/>
        <w:ind w:left="2880" w:right="126" w:hanging="2880"/>
        <w:jc w:val="both"/>
      </w:pPr>
    </w:p>
    <w:p w:rsidR="0066774B" w:rsidRPr="0088766B" w:rsidRDefault="0066774B" w:rsidP="0088766B">
      <w:pPr>
        <w:pStyle w:val="Titolo"/>
        <w:ind w:right="126"/>
      </w:pPr>
      <w:bookmarkStart w:id="0" w:name="_Toc432090693"/>
      <w:r w:rsidRPr="0066774B">
        <w:t>INTRODUZIONE</w:t>
      </w:r>
      <w:bookmarkEnd w:id="0"/>
    </w:p>
    <w:p w:rsidR="006F61F0" w:rsidRPr="00A22B8F" w:rsidRDefault="001C3714" w:rsidP="00273BE4">
      <w:pPr>
        <w:spacing w:before="120"/>
        <w:ind w:right="126"/>
        <w:jc w:val="both"/>
      </w:pPr>
      <w:r w:rsidRPr="00A22B8F">
        <w:t>Sulla base di quanto disp</w:t>
      </w:r>
      <w:r w:rsidR="00505AB1">
        <w:t>osto dai regolamenti</w:t>
      </w:r>
      <w:r w:rsidR="001D4B37">
        <w:t xml:space="preserve"> dell’Unione</w:t>
      </w:r>
      <w:r w:rsidRPr="00A22B8F">
        <w:t xml:space="preserve"> che costituiscono il quadro</w:t>
      </w:r>
      <w:r w:rsidR="00FD246C" w:rsidRPr="00A22B8F">
        <w:t xml:space="preserve"> normativo</w:t>
      </w:r>
      <w:r w:rsidRPr="00A22B8F">
        <w:t xml:space="preserve"> di riferimento</w:t>
      </w:r>
      <w:r w:rsidR="00297231" w:rsidRPr="00A22B8F">
        <w:t xml:space="preserve"> per la </w:t>
      </w:r>
      <w:r w:rsidR="00A22B8F" w:rsidRPr="00A22B8F">
        <w:t>f</w:t>
      </w:r>
      <w:r w:rsidRPr="00A22B8F">
        <w:t xml:space="preserve">ase di programmazione </w:t>
      </w:r>
      <w:r w:rsidR="009E295A" w:rsidRPr="00A22B8F">
        <w:t>20</w:t>
      </w:r>
      <w:r w:rsidR="009E295A">
        <w:t>14</w:t>
      </w:r>
      <w:r w:rsidRPr="00A22B8F">
        <w:t>-</w:t>
      </w:r>
      <w:r w:rsidR="009E295A" w:rsidRPr="00A22B8F">
        <w:t>20</w:t>
      </w:r>
      <w:r w:rsidR="009E295A">
        <w:t>20</w:t>
      </w:r>
      <w:r w:rsidR="00297231" w:rsidRPr="00A22B8F">
        <w:t>,</w:t>
      </w:r>
      <w:r w:rsidRPr="00A22B8F">
        <w:t xml:space="preserve"> le autorità nazionali</w:t>
      </w:r>
      <w:r w:rsidR="00F9200E">
        <w:t>,</w:t>
      </w:r>
      <w:r w:rsidRPr="00A22B8F">
        <w:t xml:space="preserve"> regionali</w:t>
      </w:r>
      <w:r w:rsidR="00574776" w:rsidRPr="00A22B8F">
        <w:t xml:space="preserve"> </w:t>
      </w:r>
      <w:r w:rsidR="00F9200E">
        <w:t xml:space="preserve">e delle </w:t>
      </w:r>
      <w:r w:rsidR="00AF156B">
        <w:t>P</w:t>
      </w:r>
      <w:r w:rsidR="00F9200E">
        <w:t xml:space="preserve">rovince autonome, </w:t>
      </w:r>
      <w:r w:rsidR="00297231" w:rsidRPr="00A22B8F">
        <w:t xml:space="preserve">sono chiamate a svolgere </w:t>
      </w:r>
      <w:r w:rsidR="00574776" w:rsidRPr="00A22B8F">
        <w:t>un ruolo attivo</w:t>
      </w:r>
      <w:r w:rsidRPr="00A22B8F">
        <w:t xml:space="preserve"> nella definizione degli strumenti di programmazione e gestione dei fondi comunitari.</w:t>
      </w:r>
    </w:p>
    <w:p w:rsidR="001C3714" w:rsidRPr="00A22B8F" w:rsidRDefault="00E32A7A" w:rsidP="00F13807">
      <w:pPr>
        <w:spacing w:before="120"/>
        <w:ind w:right="126"/>
        <w:jc w:val="both"/>
      </w:pPr>
      <w:r w:rsidRPr="00A22B8F">
        <w:t>In particolare</w:t>
      </w:r>
      <w:r w:rsidR="00297231" w:rsidRPr="00A22B8F">
        <w:t>,</w:t>
      </w:r>
      <w:r w:rsidRPr="00A22B8F">
        <w:t xml:space="preserve"> </w:t>
      </w:r>
      <w:r w:rsidR="001C3714" w:rsidRPr="00A22B8F">
        <w:t xml:space="preserve">l’art. </w:t>
      </w:r>
      <w:r w:rsidR="001D4B37">
        <w:t>65</w:t>
      </w:r>
      <w:r w:rsidR="00AD35B0">
        <w:t>.1</w:t>
      </w:r>
      <w:r w:rsidR="001D4B37" w:rsidRPr="00A22B8F">
        <w:t xml:space="preserve"> </w:t>
      </w:r>
      <w:r w:rsidR="001C3714" w:rsidRPr="00A22B8F">
        <w:t>(</w:t>
      </w:r>
      <w:r w:rsidR="001D4B37">
        <w:t>1</w:t>
      </w:r>
      <w:r w:rsidR="001C3714" w:rsidRPr="00A22B8F">
        <w:t>) del Reg</w:t>
      </w:r>
      <w:r w:rsidR="001E0329">
        <w:t>.</w:t>
      </w:r>
      <w:r w:rsidR="001C3714" w:rsidRPr="00A22B8F">
        <w:t xml:space="preserve"> (</w:t>
      </w:r>
      <w:r w:rsidR="00DE663E">
        <w:t>U</w:t>
      </w:r>
      <w:r w:rsidR="001C3714" w:rsidRPr="00A22B8F">
        <w:t xml:space="preserve">E) n. </w:t>
      </w:r>
      <w:r w:rsidR="001D4B37">
        <w:t>130</w:t>
      </w:r>
      <w:r w:rsidR="006E0AAB">
        <w:t>3</w:t>
      </w:r>
      <w:r w:rsidR="001D4B37">
        <w:t>/2013</w:t>
      </w:r>
      <w:r w:rsidR="001C3714" w:rsidRPr="00A22B8F">
        <w:t xml:space="preserve">, </w:t>
      </w:r>
      <w:r w:rsidR="00EE2E4E">
        <w:t>recante disposizion</w:t>
      </w:r>
      <w:r w:rsidR="00AD35B0">
        <w:t>i</w:t>
      </w:r>
      <w:r w:rsidR="00EE2E4E">
        <w:t xml:space="preserve"> sui </w:t>
      </w:r>
      <w:r w:rsidR="00DE663E">
        <w:t>Fondi SI</w:t>
      </w:r>
      <w:r w:rsidR="004722E8">
        <w:t>E</w:t>
      </w:r>
      <w:r w:rsidR="002A1F6F">
        <w:t>,</w:t>
      </w:r>
      <w:r w:rsidR="001C3714" w:rsidRPr="00A22B8F">
        <w:t xml:space="preserve"> dispone che le norme sull’ammissibilità delle spese s</w:t>
      </w:r>
      <w:r w:rsidRPr="00A22B8F">
        <w:t>ia</w:t>
      </w:r>
      <w:r w:rsidR="001C3714" w:rsidRPr="00A22B8F">
        <w:t>no adottate a livello nazionale</w:t>
      </w:r>
      <w:r w:rsidR="00F13807">
        <w:t>: “</w:t>
      </w:r>
      <w:r w:rsidR="00C271A0" w:rsidRPr="00EA213D">
        <w:rPr>
          <w:i/>
        </w:rPr>
        <w:t xml:space="preserve"> L’ammissibilità delle spese è determinata in base a norme nazionali, fatte salve norme specifiche previste nel presente regolamento o nelle norme specifiche di ciascun fondo, o sulla base degli stessi”.</w:t>
      </w:r>
    </w:p>
    <w:p w:rsidR="00CE68DB" w:rsidRDefault="00B13D41" w:rsidP="00273BE4">
      <w:pPr>
        <w:spacing w:before="120"/>
        <w:ind w:right="126"/>
        <w:jc w:val="both"/>
      </w:pPr>
      <w:r w:rsidRPr="00A22B8F">
        <w:t>In attuazione del</w:t>
      </w:r>
      <w:r w:rsidR="00A534EF">
        <w:t xml:space="preserve"> </w:t>
      </w:r>
      <w:r w:rsidRPr="00A22B8F">
        <w:t>citat</w:t>
      </w:r>
      <w:r w:rsidR="00F13807">
        <w:t>o articolo</w:t>
      </w:r>
      <w:r w:rsidRPr="00A22B8F">
        <w:t xml:space="preserve"> </w:t>
      </w:r>
      <w:r w:rsidR="00475ACD">
        <w:t>e considerato anche</w:t>
      </w:r>
      <w:r w:rsidR="008B2A1D">
        <w:t xml:space="preserve"> quanto previsto nel</w:t>
      </w:r>
      <w:r w:rsidR="00475ACD">
        <w:t xml:space="preserve"> documento </w:t>
      </w:r>
      <w:r w:rsidR="008B2A1D">
        <w:t xml:space="preserve">riguardante l’ammissibilità della spesa dei fondi SIE </w:t>
      </w:r>
      <w:r w:rsidR="00475ACD">
        <w:t xml:space="preserve">in corso di definizione, </w:t>
      </w:r>
      <w:r w:rsidRPr="00A22B8F">
        <w:t>il presente documento</w:t>
      </w:r>
      <w:r w:rsidR="00E32A7A" w:rsidRPr="00A22B8F">
        <w:t xml:space="preserve"> </w:t>
      </w:r>
      <w:r w:rsidR="002260DB" w:rsidRPr="00A22B8F">
        <w:t>stabili</w:t>
      </w:r>
      <w:r w:rsidR="002260DB">
        <w:t>sce</w:t>
      </w:r>
      <w:r w:rsidR="002260DB" w:rsidRPr="00A22B8F">
        <w:t xml:space="preserve"> </w:t>
      </w:r>
      <w:r w:rsidRPr="00A22B8F">
        <w:t xml:space="preserve">una serie di </w:t>
      </w:r>
      <w:r w:rsidR="004722E8">
        <w:t>disposizioni</w:t>
      </w:r>
      <w:r w:rsidRPr="00A22B8F">
        <w:t xml:space="preserve"> sull’ammissibilità </w:t>
      </w:r>
      <w:r w:rsidR="00E32A7A" w:rsidRPr="00A22B8F">
        <w:t xml:space="preserve">delle </w:t>
      </w:r>
      <w:r w:rsidRPr="00A22B8F">
        <w:t>spese</w:t>
      </w:r>
      <w:r w:rsidR="00E62A6A">
        <w:t xml:space="preserve"> del Fondo FEASR</w:t>
      </w:r>
      <w:r w:rsidR="00CE68DB">
        <w:t>.</w:t>
      </w:r>
    </w:p>
    <w:p w:rsidR="008B137F" w:rsidRPr="008B137F" w:rsidRDefault="00CE68DB" w:rsidP="00273BE4">
      <w:pPr>
        <w:spacing w:before="120"/>
        <w:ind w:right="126"/>
        <w:jc w:val="both"/>
        <w:rPr>
          <w:snapToGrid w:val="0"/>
        </w:rPr>
      </w:pPr>
      <w:r>
        <w:t xml:space="preserve">L’obiettivo del presente documento è quello di </w:t>
      </w:r>
      <w:r w:rsidR="00B13D41" w:rsidRPr="00A22B8F">
        <w:t xml:space="preserve">uniformare le procedure connesse all’utilizzazione dei fondi </w:t>
      </w:r>
      <w:r w:rsidR="00E32A7A" w:rsidRPr="00A22B8F">
        <w:t>relativi</w:t>
      </w:r>
      <w:r w:rsidR="002313CE" w:rsidRPr="00A22B8F">
        <w:t xml:space="preserve"> agli interventi di sviluppo rurale</w:t>
      </w:r>
      <w:r w:rsidR="00AF156B">
        <w:t xml:space="preserve">, </w:t>
      </w:r>
      <w:r w:rsidR="00B13D41" w:rsidRPr="00A22B8F">
        <w:t>nel rispetto dei principi relativi alla salvaguardia degli interessi nazionali e delle disposizioni comunitari</w:t>
      </w:r>
      <w:r w:rsidR="00E32A7A" w:rsidRPr="00A22B8F">
        <w:t>e</w:t>
      </w:r>
      <w:r w:rsidR="00A534EF">
        <w:t xml:space="preserve"> in materia</w:t>
      </w:r>
      <w:r w:rsidR="008B2A1D" w:rsidRPr="00A01342">
        <w:t xml:space="preserve">. In ogni caso, </w:t>
      </w:r>
      <w:r w:rsidR="00D81482" w:rsidRPr="00A01342">
        <w:t>questo</w:t>
      </w:r>
      <w:r w:rsidR="008B2A1D" w:rsidRPr="00A01342">
        <w:t xml:space="preserve"> documento non pregiudica le condizioni di ammissibilità delle spese stabilite </w:t>
      </w:r>
      <w:r w:rsidR="008B2A1D" w:rsidRPr="00A01342">
        <w:rPr>
          <w:snapToGrid w:val="0"/>
        </w:rPr>
        <w:t>da ciascuna Regione e</w:t>
      </w:r>
      <w:r w:rsidR="002A17BF" w:rsidRPr="00A01342">
        <w:rPr>
          <w:snapToGrid w:val="0"/>
        </w:rPr>
        <w:t xml:space="preserve"> Provincia Autonoma</w:t>
      </w:r>
      <w:r w:rsidR="008B2A1D" w:rsidRPr="00A01342">
        <w:rPr>
          <w:snapToGrid w:val="0"/>
        </w:rPr>
        <w:t xml:space="preserve"> nel rispettivo programma di sviluppo rurale, nonché nelle pertinenti schede di misura, sottomisura o operazione.</w:t>
      </w:r>
    </w:p>
    <w:p w:rsidR="00801D99" w:rsidRPr="00A22B8F" w:rsidRDefault="00D95F6A" w:rsidP="00273BE4">
      <w:pPr>
        <w:pStyle w:val="Rientrocorpodeltesto2"/>
        <w:spacing w:before="120" w:after="0" w:line="240" w:lineRule="auto"/>
        <w:ind w:left="0" w:right="126"/>
        <w:jc w:val="both"/>
      </w:pPr>
      <w:r w:rsidRPr="00A22B8F">
        <w:t>Il presente documento si articola</w:t>
      </w:r>
      <w:r w:rsidR="00AB3051">
        <w:t xml:space="preserve"> </w:t>
      </w:r>
      <w:r w:rsidR="00FE6153" w:rsidRPr="00A22B8F">
        <w:t xml:space="preserve">seguendo l’ordine logico delle </w:t>
      </w:r>
      <w:r w:rsidRPr="00A22B8F">
        <w:t>fasi del processo di determinazione dell’ammissibilità della spesa, a cui corrispondono i seguenti capitoli</w:t>
      </w:r>
      <w:r w:rsidR="003C253B" w:rsidRPr="00A22B8F">
        <w:t>:</w:t>
      </w:r>
    </w:p>
    <w:p w:rsidR="00AB3051" w:rsidRDefault="00AB3051" w:rsidP="0093020D">
      <w:pPr>
        <w:pStyle w:val="Rientrocorpodeltesto2"/>
        <w:numPr>
          <w:ilvl w:val="1"/>
          <w:numId w:val="1"/>
        </w:numPr>
        <w:tabs>
          <w:tab w:val="clear" w:pos="1440"/>
        </w:tabs>
        <w:spacing w:before="120" w:after="0" w:line="240" w:lineRule="auto"/>
        <w:ind w:left="540" w:right="126" w:hanging="540"/>
        <w:jc w:val="both"/>
      </w:pPr>
      <w:r>
        <w:t>Ambito di applicazione e forme del sostegno</w:t>
      </w:r>
    </w:p>
    <w:p w:rsidR="00FD6D72" w:rsidRPr="00A22B8F" w:rsidRDefault="00D95F6A" w:rsidP="0093020D">
      <w:pPr>
        <w:pStyle w:val="Rientrocorpodeltesto2"/>
        <w:numPr>
          <w:ilvl w:val="1"/>
          <w:numId w:val="1"/>
        </w:numPr>
        <w:tabs>
          <w:tab w:val="clear" w:pos="1440"/>
        </w:tabs>
        <w:spacing w:before="120" w:after="0" w:line="240" w:lineRule="auto"/>
        <w:ind w:left="540" w:right="126" w:hanging="540"/>
        <w:jc w:val="both"/>
      </w:pPr>
      <w:r w:rsidRPr="00A22B8F">
        <w:t>P</w:t>
      </w:r>
      <w:r w:rsidR="003C253B" w:rsidRPr="00A22B8F">
        <w:t>rincipi generali relativi all’ammissibilità de</w:t>
      </w:r>
      <w:r w:rsidR="000744D3" w:rsidRPr="00A22B8F">
        <w:t xml:space="preserve">lle </w:t>
      </w:r>
      <w:r w:rsidR="00FD246C" w:rsidRPr="00A22B8F">
        <w:t>spese</w:t>
      </w:r>
    </w:p>
    <w:p w:rsidR="00A2314D" w:rsidRPr="0088766B" w:rsidRDefault="00D95F6A" w:rsidP="0088766B">
      <w:pPr>
        <w:pStyle w:val="Rientrocorpodeltesto2"/>
        <w:numPr>
          <w:ilvl w:val="1"/>
          <w:numId w:val="1"/>
        </w:numPr>
        <w:tabs>
          <w:tab w:val="clear" w:pos="1440"/>
        </w:tabs>
        <w:spacing w:before="120" w:after="0" w:line="240" w:lineRule="auto"/>
        <w:ind w:left="540" w:right="126" w:hanging="540"/>
        <w:jc w:val="both"/>
      </w:pPr>
      <w:r w:rsidRPr="00A22B8F">
        <w:t>C</w:t>
      </w:r>
      <w:r w:rsidR="003C253B" w:rsidRPr="00A22B8F">
        <w:t xml:space="preserve">ondizioni di ammissibilità di </w:t>
      </w:r>
      <w:r w:rsidR="00FD6D72" w:rsidRPr="00A22B8F">
        <w:t>alcune tipologie</w:t>
      </w:r>
      <w:r w:rsidRPr="00A22B8F">
        <w:t xml:space="preserve"> di spesa</w:t>
      </w:r>
    </w:p>
    <w:p w:rsidR="00C4191E" w:rsidRPr="0088766B" w:rsidRDefault="0046097F" w:rsidP="00273BE4">
      <w:pPr>
        <w:spacing w:before="120"/>
        <w:ind w:right="126"/>
        <w:jc w:val="both"/>
        <w:rPr>
          <w:strike/>
          <w:snapToGrid w:val="0"/>
        </w:rPr>
      </w:pPr>
      <w:r>
        <w:rPr>
          <w:snapToGrid w:val="0"/>
        </w:rPr>
        <w:t>I</w:t>
      </w:r>
      <w:r w:rsidR="00EB2DDA" w:rsidRPr="00A22B8F">
        <w:rPr>
          <w:snapToGrid w:val="0"/>
        </w:rPr>
        <w:t xml:space="preserve">l documento si completa con </w:t>
      </w:r>
      <w:r w:rsidR="00A40E84">
        <w:rPr>
          <w:snapToGrid w:val="0"/>
        </w:rPr>
        <w:t xml:space="preserve">alcune </w:t>
      </w:r>
      <w:r w:rsidR="00EB2DDA" w:rsidRPr="00A22B8F">
        <w:rPr>
          <w:snapToGrid w:val="0"/>
        </w:rPr>
        <w:t xml:space="preserve">schede tecniche </w:t>
      </w:r>
      <w:r w:rsidR="00297231" w:rsidRPr="00A22B8F">
        <w:rPr>
          <w:snapToGrid w:val="0"/>
        </w:rPr>
        <w:t>relative alle principali tipologie di misura, di seguito elencate:</w:t>
      </w:r>
    </w:p>
    <w:p w:rsidR="00C91DAB" w:rsidRPr="009245EF" w:rsidRDefault="00C91DAB" w:rsidP="00C91DAB">
      <w:pPr>
        <w:numPr>
          <w:ilvl w:val="1"/>
          <w:numId w:val="6"/>
        </w:numPr>
        <w:tabs>
          <w:tab w:val="clear" w:pos="1440"/>
          <w:tab w:val="num" w:pos="540"/>
        </w:tabs>
        <w:spacing w:before="120"/>
        <w:ind w:left="540" w:right="126" w:hanging="540"/>
        <w:jc w:val="both"/>
        <w:rPr>
          <w:snapToGrid w:val="0"/>
        </w:rPr>
      </w:pPr>
      <w:r w:rsidRPr="009245EF">
        <w:rPr>
          <w:snapToGrid w:val="0"/>
        </w:rPr>
        <w:t>Investimenti</w:t>
      </w:r>
    </w:p>
    <w:p w:rsidR="00C91DAB" w:rsidRPr="009245EF" w:rsidRDefault="00C91DAB" w:rsidP="00C91DAB">
      <w:pPr>
        <w:numPr>
          <w:ilvl w:val="1"/>
          <w:numId w:val="6"/>
        </w:numPr>
        <w:tabs>
          <w:tab w:val="clear" w:pos="1440"/>
          <w:tab w:val="num" w:pos="540"/>
        </w:tabs>
        <w:spacing w:before="120"/>
        <w:ind w:left="540" w:right="126" w:hanging="540"/>
        <w:jc w:val="both"/>
        <w:rPr>
          <w:snapToGrid w:val="0"/>
        </w:rPr>
      </w:pPr>
      <w:r w:rsidRPr="009245EF">
        <w:rPr>
          <w:snapToGrid w:val="0"/>
        </w:rPr>
        <w:t>Formazione, informazione e diffusione delle conoscenze</w:t>
      </w:r>
    </w:p>
    <w:p w:rsidR="00C91DAB" w:rsidRDefault="00C91DAB" w:rsidP="00C91DAB">
      <w:pPr>
        <w:numPr>
          <w:ilvl w:val="1"/>
          <w:numId w:val="6"/>
        </w:numPr>
        <w:tabs>
          <w:tab w:val="clear" w:pos="1440"/>
          <w:tab w:val="num" w:pos="540"/>
        </w:tabs>
        <w:spacing w:before="120"/>
        <w:ind w:left="540" w:right="126" w:hanging="540"/>
        <w:jc w:val="both"/>
        <w:rPr>
          <w:snapToGrid w:val="0"/>
        </w:rPr>
      </w:pPr>
      <w:r w:rsidRPr="009245EF">
        <w:rPr>
          <w:snapToGrid w:val="0"/>
        </w:rPr>
        <w:t>Leader e CLL</w:t>
      </w:r>
      <w:r w:rsidR="002C4AAF">
        <w:rPr>
          <w:snapToGrid w:val="0"/>
        </w:rPr>
        <w:t>D</w:t>
      </w:r>
    </w:p>
    <w:p w:rsidR="000074A7" w:rsidRPr="009245EF" w:rsidRDefault="000074A7" w:rsidP="00C91DAB">
      <w:pPr>
        <w:numPr>
          <w:ilvl w:val="1"/>
          <w:numId w:val="6"/>
        </w:numPr>
        <w:tabs>
          <w:tab w:val="clear" w:pos="1440"/>
          <w:tab w:val="num" w:pos="540"/>
        </w:tabs>
        <w:spacing w:before="120"/>
        <w:ind w:left="540" w:right="126" w:hanging="540"/>
        <w:jc w:val="both"/>
        <w:rPr>
          <w:snapToGrid w:val="0"/>
        </w:rPr>
      </w:pPr>
      <w:r>
        <w:rPr>
          <w:snapToGrid w:val="0"/>
        </w:rPr>
        <w:t>Cooperazione interterritoriale e transnazionale</w:t>
      </w:r>
    </w:p>
    <w:p w:rsidR="00C91DAB" w:rsidRDefault="00C91DAB" w:rsidP="00C91DAB">
      <w:pPr>
        <w:numPr>
          <w:ilvl w:val="1"/>
          <w:numId w:val="6"/>
        </w:numPr>
        <w:tabs>
          <w:tab w:val="clear" w:pos="1440"/>
          <w:tab w:val="num" w:pos="567"/>
        </w:tabs>
        <w:spacing w:before="120"/>
        <w:ind w:right="126" w:hanging="1440"/>
        <w:jc w:val="both"/>
        <w:rPr>
          <w:snapToGrid w:val="0"/>
        </w:rPr>
      </w:pPr>
      <w:r w:rsidRPr="009245EF">
        <w:rPr>
          <w:snapToGrid w:val="0"/>
        </w:rPr>
        <w:t>Assistenza tecnica</w:t>
      </w:r>
    </w:p>
    <w:p w:rsidR="00C91DAB" w:rsidRDefault="00C91DAB" w:rsidP="00C91DAB">
      <w:pPr>
        <w:numPr>
          <w:ilvl w:val="1"/>
          <w:numId w:val="6"/>
        </w:numPr>
        <w:tabs>
          <w:tab w:val="clear" w:pos="1440"/>
          <w:tab w:val="num" w:pos="567"/>
        </w:tabs>
        <w:spacing w:before="120"/>
        <w:ind w:right="126" w:hanging="1440"/>
        <w:jc w:val="both"/>
        <w:rPr>
          <w:snapToGrid w:val="0"/>
        </w:rPr>
      </w:pPr>
      <w:r w:rsidRPr="00D86B0C">
        <w:rPr>
          <w:snapToGrid w:val="0"/>
        </w:rPr>
        <w:t>Fondi di garanzia</w:t>
      </w:r>
    </w:p>
    <w:p w:rsidR="00C91DAB" w:rsidRPr="00D86B0C" w:rsidRDefault="00C91DAB" w:rsidP="00C91DAB">
      <w:pPr>
        <w:numPr>
          <w:ilvl w:val="1"/>
          <w:numId w:val="6"/>
        </w:numPr>
        <w:tabs>
          <w:tab w:val="clear" w:pos="1440"/>
          <w:tab w:val="num" w:pos="567"/>
        </w:tabs>
        <w:spacing w:before="120"/>
        <w:ind w:left="567" w:right="126" w:hanging="567"/>
        <w:jc w:val="both"/>
        <w:rPr>
          <w:snapToGrid w:val="0"/>
        </w:rPr>
      </w:pPr>
      <w:r w:rsidRPr="00D86B0C">
        <w:rPr>
          <w:snapToGrid w:val="0"/>
        </w:rPr>
        <w:t xml:space="preserve"> </w:t>
      </w:r>
      <w:r>
        <w:rPr>
          <w:snapToGrid w:val="0"/>
        </w:rPr>
        <w:t>F</w:t>
      </w:r>
      <w:r w:rsidRPr="00D86B0C">
        <w:rPr>
          <w:snapToGrid w:val="0"/>
        </w:rPr>
        <w:t>ondi di credito</w:t>
      </w:r>
    </w:p>
    <w:p w:rsidR="004D7111" w:rsidRDefault="004D7111" w:rsidP="00273BE4">
      <w:pPr>
        <w:spacing w:before="120"/>
        <w:ind w:right="126"/>
        <w:jc w:val="both"/>
        <w:rPr>
          <w:snapToGrid w:val="0"/>
        </w:rPr>
      </w:pPr>
    </w:p>
    <w:p w:rsidR="000B6830" w:rsidRDefault="000B6830" w:rsidP="00273BE4">
      <w:pPr>
        <w:spacing w:before="120"/>
        <w:ind w:right="126"/>
        <w:jc w:val="both"/>
        <w:rPr>
          <w:snapToGrid w:val="0"/>
        </w:rPr>
      </w:pPr>
    </w:p>
    <w:p w:rsidR="0046097F" w:rsidRDefault="00AB3051" w:rsidP="0093020D">
      <w:pPr>
        <w:pStyle w:val="Titolo"/>
        <w:numPr>
          <w:ilvl w:val="0"/>
          <w:numId w:val="5"/>
        </w:numPr>
        <w:ind w:right="126" w:hanging="720"/>
        <w:jc w:val="both"/>
      </w:pPr>
      <w:bookmarkStart w:id="1" w:name="_Toc432090694"/>
      <w:r>
        <w:t>AMBITO DI APPLICAZIONE E FORME DEL SOSTEGNO</w:t>
      </w:r>
      <w:bookmarkEnd w:id="1"/>
    </w:p>
    <w:p w:rsidR="0046097F" w:rsidRDefault="0046097F" w:rsidP="0046097F">
      <w:pPr>
        <w:tabs>
          <w:tab w:val="left" w:pos="0"/>
        </w:tabs>
        <w:jc w:val="both"/>
      </w:pPr>
      <w:r>
        <w:t xml:space="preserve">Il presente capitolo illustra le differenti classificazioni dei costi ammissibili nell’ambito della programmazione dello sviluppo rurale, al fine di individuare le categorie di costo alle quali si applicano i principi sull’ammissibilità della spesa. </w:t>
      </w:r>
    </w:p>
    <w:p w:rsidR="0046097F" w:rsidRDefault="0046097F" w:rsidP="0046097F">
      <w:pPr>
        <w:tabs>
          <w:tab w:val="left" w:pos="0"/>
        </w:tabs>
        <w:jc w:val="both"/>
      </w:pPr>
    </w:p>
    <w:p w:rsidR="0046097F" w:rsidRDefault="00643670" w:rsidP="0046097F">
      <w:pPr>
        <w:tabs>
          <w:tab w:val="left" w:pos="0"/>
        </w:tabs>
        <w:jc w:val="both"/>
      </w:pPr>
      <w:r w:rsidRPr="00FE1C78">
        <w:t>Secondo quanto indicato nell’art</w:t>
      </w:r>
      <w:r w:rsidR="00F55BEE">
        <w:t>.</w:t>
      </w:r>
      <w:r w:rsidRPr="00FE1C78">
        <w:t xml:space="preserve"> 66 del Reg. (UE) </w:t>
      </w:r>
      <w:r w:rsidR="00BA1980">
        <w:t xml:space="preserve">n. </w:t>
      </w:r>
      <w:r w:rsidRPr="00FE1C78">
        <w:t>1303/</w:t>
      </w:r>
      <w:r w:rsidR="00A67B0E">
        <w:t>2013,</w:t>
      </w:r>
      <w:r>
        <w:t xml:space="preserve"> i</w:t>
      </w:r>
      <w:r w:rsidR="0046097F">
        <w:t>l</w:t>
      </w:r>
      <w:r w:rsidR="00E62A6A">
        <w:t xml:space="preserve"> sostegno </w:t>
      </w:r>
      <w:r w:rsidR="0046097F">
        <w:t xml:space="preserve">può assumere </w:t>
      </w:r>
      <w:r>
        <w:t xml:space="preserve">una delle </w:t>
      </w:r>
      <w:r w:rsidR="0046097F">
        <w:t xml:space="preserve"> seguenti forme</w:t>
      </w:r>
      <w:r>
        <w:t xml:space="preserve"> o una combinazione delle stesse</w:t>
      </w:r>
      <w:r w:rsidR="0046097F">
        <w:t>:</w:t>
      </w:r>
    </w:p>
    <w:p w:rsidR="004D7111" w:rsidRDefault="004D7111" w:rsidP="0046097F">
      <w:pPr>
        <w:tabs>
          <w:tab w:val="left" w:pos="0"/>
        </w:tabs>
        <w:jc w:val="both"/>
      </w:pPr>
    </w:p>
    <w:p w:rsidR="0046097F" w:rsidRPr="006717A2" w:rsidRDefault="0046097F" w:rsidP="0093020D">
      <w:pPr>
        <w:pStyle w:val="Paragrafoelenco"/>
        <w:numPr>
          <w:ilvl w:val="0"/>
          <w:numId w:val="25"/>
        </w:numPr>
        <w:tabs>
          <w:tab w:val="left" w:pos="0"/>
        </w:tabs>
        <w:rPr>
          <w:rFonts w:ascii="Times New Roman" w:hAnsi="Times New Roman"/>
          <w:sz w:val="24"/>
          <w:szCs w:val="24"/>
        </w:rPr>
      </w:pPr>
      <w:r w:rsidRPr="006717A2">
        <w:rPr>
          <w:rFonts w:ascii="Times New Roman" w:hAnsi="Times New Roman"/>
          <w:b/>
          <w:sz w:val="24"/>
          <w:szCs w:val="24"/>
        </w:rPr>
        <w:t>Sovvenzioni</w:t>
      </w:r>
      <w:r w:rsidRPr="006717A2">
        <w:rPr>
          <w:rFonts w:ascii="Times New Roman" w:hAnsi="Times New Roman"/>
          <w:sz w:val="24"/>
          <w:szCs w:val="24"/>
        </w:rPr>
        <w:t xml:space="preserve"> </w:t>
      </w:r>
    </w:p>
    <w:p w:rsidR="0046097F" w:rsidRPr="006717A2" w:rsidRDefault="0046097F" w:rsidP="0093020D">
      <w:pPr>
        <w:pStyle w:val="Paragrafoelenco"/>
        <w:numPr>
          <w:ilvl w:val="0"/>
          <w:numId w:val="25"/>
        </w:numPr>
        <w:tabs>
          <w:tab w:val="left" w:pos="0"/>
        </w:tabs>
        <w:rPr>
          <w:rFonts w:ascii="Times New Roman" w:hAnsi="Times New Roman"/>
          <w:sz w:val="24"/>
          <w:szCs w:val="24"/>
        </w:rPr>
      </w:pPr>
      <w:r w:rsidRPr="006717A2">
        <w:rPr>
          <w:rFonts w:ascii="Times New Roman" w:hAnsi="Times New Roman"/>
          <w:b/>
          <w:sz w:val="24"/>
          <w:szCs w:val="24"/>
        </w:rPr>
        <w:t>Premi</w:t>
      </w:r>
    </w:p>
    <w:p w:rsidR="00D643D4" w:rsidRPr="00D643D4" w:rsidRDefault="0046097F" w:rsidP="0093020D">
      <w:pPr>
        <w:pStyle w:val="Paragrafoelenco"/>
        <w:numPr>
          <w:ilvl w:val="0"/>
          <w:numId w:val="25"/>
        </w:numPr>
        <w:tabs>
          <w:tab w:val="left" w:pos="0"/>
        </w:tabs>
        <w:rPr>
          <w:rFonts w:ascii="Times New Roman" w:hAnsi="Times New Roman"/>
          <w:b/>
          <w:sz w:val="24"/>
          <w:szCs w:val="24"/>
        </w:rPr>
      </w:pPr>
      <w:r w:rsidRPr="00D643D4">
        <w:rPr>
          <w:rFonts w:ascii="Times New Roman" w:hAnsi="Times New Roman"/>
          <w:b/>
          <w:sz w:val="24"/>
          <w:szCs w:val="24"/>
        </w:rPr>
        <w:t>Assistenza rimborsabile</w:t>
      </w:r>
      <w:r w:rsidR="00D643D4">
        <w:rPr>
          <w:rStyle w:val="Rimandonotaapidipagina"/>
          <w:rFonts w:ascii="Times New Roman" w:hAnsi="Times New Roman"/>
          <w:b/>
          <w:sz w:val="24"/>
          <w:szCs w:val="24"/>
        </w:rPr>
        <w:footnoteReference w:id="1"/>
      </w:r>
    </w:p>
    <w:p w:rsidR="0046097F" w:rsidRPr="00D643D4" w:rsidRDefault="0046097F" w:rsidP="0093020D">
      <w:pPr>
        <w:pStyle w:val="Paragrafoelenco"/>
        <w:numPr>
          <w:ilvl w:val="0"/>
          <w:numId w:val="25"/>
        </w:numPr>
        <w:tabs>
          <w:tab w:val="left" w:pos="0"/>
        </w:tabs>
        <w:rPr>
          <w:rFonts w:ascii="Times New Roman" w:hAnsi="Times New Roman"/>
          <w:b/>
          <w:sz w:val="24"/>
          <w:szCs w:val="24"/>
        </w:rPr>
      </w:pPr>
      <w:r w:rsidRPr="00D643D4">
        <w:rPr>
          <w:rFonts w:ascii="Times New Roman" w:hAnsi="Times New Roman"/>
          <w:b/>
          <w:sz w:val="24"/>
          <w:szCs w:val="24"/>
        </w:rPr>
        <w:t>Strumenti finanziari</w:t>
      </w:r>
    </w:p>
    <w:p w:rsidR="0046097F" w:rsidRPr="00A8483C" w:rsidRDefault="0046097F" w:rsidP="00EA213D">
      <w:pPr>
        <w:pStyle w:val="Titolo"/>
        <w:ind w:right="126"/>
        <w:jc w:val="both"/>
        <w:outlineLvl w:val="1"/>
        <w:rPr>
          <w:rFonts w:cs="EUAlbertina"/>
          <w:color w:val="000000"/>
          <w:sz w:val="24"/>
          <w:szCs w:val="24"/>
        </w:rPr>
      </w:pPr>
      <w:bookmarkStart w:id="2" w:name="_Toc432090695"/>
      <w:r w:rsidRPr="00A8483C">
        <w:rPr>
          <w:sz w:val="24"/>
          <w:szCs w:val="24"/>
        </w:rPr>
        <w:t>Forme delle sovvenzioni</w:t>
      </w:r>
      <w:bookmarkEnd w:id="2"/>
    </w:p>
    <w:p w:rsidR="0046097F" w:rsidRDefault="0046097F" w:rsidP="0046097F">
      <w:pPr>
        <w:jc w:val="both"/>
      </w:pPr>
      <w:r>
        <w:t>In base a quanto previsto dall’</w:t>
      </w:r>
      <w:r w:rsidR="00BA1980">
        <w:t>a</w:t>
      </w:r>
      <w:r>
        <w:t>rt</w:t>
      </w:r>
      <w:r w:rsidR="00F55BEE">
        <w:t>.</w:t>
      </w:r>
      <w:r>
        <w:t xml:space="preserve"> 67 del Reg</w:t>
      </w:r>
      <w:r w:rsidR="00A67B0E">
        <w:t>.</w:t>
      </w:r>
      <w:r>
        <w:t xml:space="preserve"> </w:t>
      </w:r>
      <w:r w:rsidR="00A67B0E">
        <w:t>(</w:t>
      </w:r>
      <w:r>
        <w:t>UE</w:t>
      </w:r>
      <w:r w:rsidR="00A67B0E">
        <w:t xml:space="preserve">) </w:t>
      </w:r>
      <w:r>
        <w:t xml:space="preserve"> n. 1303/2013   </w:t>
      </w:r>
      <w:r w:rsidRPr="00BB70E1">
        <w:rPr>
          <w:b/>
        </w:rPr>
        <w:t>“Forme di sovvenzioni</w:t>
      </w:r>
      <w:r w:rsidR="00DD5F92">
        <w:rPr>
          <w:b/>
        </w:rPr>
        <w:t xml:space="preserve"> e assistenza rimborsabile</w:t>
      </w:r>
      <w:r w:rsidRPr="00BB70E1">
        <w:rPr>
          <w:b/>
        </w:rPr>
        <w:t>”</w:t>
      </w:r>
      <w:r w:rsidR="00990F23">
        <w:rPr>
          <w:b/>
        </w:rPr>
        <w:t>,</w:t>
      </w:r>
      <w:r>
        <w:rPr>
          <w:b/>
        </w:rPr>
        <w:t xml:space="preserve"> </w:t>
      </w:r>
      <w:r>
        <w:t>le</w:t>
      </w:r>
      <w:r w:rsidRPr="00990F23">
        <w:t xml:space="preserve"> sovvenzioni</w:t>
      </w:r>
      <w:r>
        <w:t xml:space="preserve"> possono assumere una delle seguenti forme:</w:t>
      </w:r>
    </w:p>
    <w:p w:rsidR="004D7111" w:rsidRDefault="004D7111" w:rsidP="0046097F">
      <w:pPr>
        <w:jc w:val="both"/>
      </w:pPr>
    </w:p>
    <w:p w:rsidR="0046097F" w:rsidRPr="00A8483C" w:rsidRDefault="0046097F" w:rsidP="0093020D">
      <w:pPr>
        <w:pStyle w:val="Paragrafoelenco"/>
        <w:numPr>
          <w:ilvl w:val="0"/>
          <w:numId w:val="26"/>
        </w:numPr>
        <w:jc w:val="both"/>
        <w:rPr>
          <w:rFonts w:ascii="Times New Roman" w:hAnsi="Times New Roman"/>
          <w:sz w:val="24"/>
          <w:szCs w:val="24"/>
        </w:rPr>
      </w:pPr>
      <w:r w:rsidRPr="00A8483C">
        <w:rPr>
          <w:rFonts w:ascii="Times New Roman" w:hAnsi="Times New Roman"/>
          <w:b/>
          <w:sz w:val="24"/>
          <w:szCs w:val="24"/>
        </w:rPr>
        <w:t>costi reali</w:t>
      </w:r>
      <w:r w:rsidRPr="00A8483C">
        <w:rPr>
          <w:rFonts w:ascii="Times New Roman" w:hAnsi="Times New Roman"/>
          <w:sz w:val="24"/>
          <w:szCs w:val="24"/>
        </w:rPr>
        <w:t>: rimborso dei costi ammissibili effettivamente sostenuti, unitamente, se del caso, a contributi in natura e ammortamenti</w:t>
      </w:r>
      <w:r w:rsidR="000B6830" w:rsidRPr="00A8483C">
        <w:rPr>
          <w:rFonts w:ascii="Times New Roman" w:hAnsi="Times New Roman"/>
          <w:sz w:val="24"/>
          <w:szCs w:val="24"/>
        </w:rPr>
        <w:t xml:space="preserve"> (</w:t>
      </w:r>
      <w:r w:rsidRPr="00A8483C">
        <w:rPr>
          <w:rFonts w:ascii="Times New Roman" w:hAnsi="Times New Roman"/>
          <w:sz w:val="24"/>
          <w:szCs w:val="24"/>
        </w:rPr>
        <w:t>art</w:t>
      </w:r>
      <w:r w:rsidR="00F55BEE">
        <w:rPr>
          <w:rFonts w:ascii="Times New Roman" w:hAnsi="Times New Roman"/>
          <w:sz w:val="24"/>
          <w:szCs w:val="24"/>
        </w:rPr>
        <w:t>.</w:t>
      </w:r>
      <w:r w:rsidRPr="00A8483C">
        <w:rPr>
          <w:rFonts w:ascii="Times New Roman" w:hAnsi="Times New Roman"/>
          <w:sz w:val="24"/>
          <w:szCs w:val="24"/>
        </w:rPr>
        <w:t xml:space="preserve"> 67</w:t>
      </w:r>
      <w:r w:rsidR="00A67B0E">
        <w:rPr>
          <w:rFonts w:ascii="Times New Roman" w:hAnsi="Times New Roman"/>
          <w:sz w:val="24"/>
          <w:szCs w:val="24"/>
        </w:rPr>
        <w:t>,</w:t>
      </w:r>
      <w:r w:rsidR="006717A2">
        <w:rPr>
          <w:rFonts w:ascii="Times New Roman" w:hAnsi="Times New Roman"/>
          <w:sz w:val="24"/>
          <w:szCs w:val="24"/>
        </w:rPr>
        <w:t xml:space="preserve"> comma 1</w:t>
      </w:r>
      <w:r w:rsidR="00A67B0E">
        <w:rPr>
          <w:rFonts w:ascii="Times New Roman" w:hAnsi="Times New Roman"/>
          <w:sz w:val="24"/>
          <w:szCs w:val="24"/>
        </w:rPr>
        <w:t>,</w:t>
      </w:r>
      <w:r w:rsidR="006717A2">
        <w:rPr>
          <w:rFonts w:ascii="Times New Roman" w:hAnsi="Times New Roman"/>
          <w:sz w:val="24"/>
          <w:szCs w:val="24"/>
        </w:rPr>
        <w:t xml:space="preserve"> lettera </w:t>
      </w:r>
      <w:r w:rsidRPr="00A8483C">
        <w:rPr>
          <w:rFonts w:ascii="Times New Roman" w:hAnsi="Times New Roman"/>
          <w:sz w:val="24"/>
          <w:szCs w:val="24"/>
        </w:rPr>
        <w:t>a</w:t>
      </w:r>
      <w:r w:rsidR="006717A2">
        <w:rPr>
          <w:rFonts w:ascii="Times New Roman" w:hAnsi="Times New Roman"/>
          <w:sz w:val="24"/>
          <w:szCs w:val="24"/>
        </w:rPr>
        <w:t>)</w:t>
      </w:r>
      <w:r w:rsidRPr="00A8483C">
        <w:rPr>
          <w:rFonts w:ascii="Times New Roman" w:hAnsi="Times New Roman"/>
          <w:sz w:val="24"/>
          <w:szCs w:val="24"/>
        </w:rPr>
        <w:t xml:space="preserve"> del Reg. </w:t>
      </w:r>
      <w:r w:rsidR="00A67B0E">
        <w:rPr>
          <w:rFonts w:ascii="Times New Roman" w:hAnsi="Times New Roman"/>
          <w:sz w:val="24"/>
          <w:szCs w:val="24"/>
        </w:rPr>
        <w:t xml:space="preserve">(UE) </w:t>
      </w:r>
      <w:r w:rsidR="00A67B0E">
        <w:rPr>
          <w:rFonts w:ascii="Times New Roman" w:hAnsi="Times New Roman"/>
          <w:sz w:val="24"/>
          <w:szCs w:val="24"/>
        </w:rPr>
        <w:br/>
        <w:t xml:space="preserve">n.  </w:t>
      </w:r>
      <w:r w:rsidRPr="00A8483C">
        <w:rPr>
          <w:rFonts w:ascii="Times New Roman" w:hAnsi="Times New Roman"/>
          <w:sz w:val="24"/>
          <w:szCs w:val="24"/>
        </w:rPr>
        <w:t>1303/2013);</w:t>
      </w:r>
    </w:p>
    <w:p w:rsidR="0046097F" w:rsidRPr="00A8483C" w:rsidRDefault="0046097F" w:rsidP="0046097F">
      <w:pPr>
        <w:pStyle w:val="Paragrafoelenco"/>
        <w:ind w:left="1440"/>
        <w:jc w:val="both"/>
        <w:rPr>
          <w:rFonts w:ascii="Times New Roman" w:hAnsi="Times New Roman"/>
          <w:sz w:val="24"/>
          <w:szCs w:val="24"/>
        </w:rPr>
      </w:pPr>
    </w:p>
    <w:p w:rsidR="004D7111" w:rsidRPr="004D7111" w:rsidRDefault="0046097F" w:rsidP="0093020D">
      <w:pPr>
        <w:pStyle w:val="Paragrafoelenco"/>
        <w:numPr>
          <w:ilvl w:val="0"/>
          <w:numId w:val="26"/>
        </w:numPr>
        <w:jc w:val="both"/>
        <w:rPr>
          <w:rFonts w:ascii="Times New Roman" w:hAnsi="Times New Roman"/>
          <w:b/>
          <w:sz w:val="24"/>
          <w:szCs w:val="24"/>
        </w:rPr>
      </w:pPr>
      <w:r w:rsidRPr="00A8483C">
        <w:rPr>
          <w:rFonts w:ascii="Times New Roman" w:hAnsi="Times New Roman"/>
          <w:b/>
          <w:sz w:val="24"/>
          <w:szCs w:val="24"/>
        </w:rPr>
        <w:t>costi semplificati, di cui all’art. 67</w:t>
      </w:r>
      <w:r w:rsidR="00253ECD" w:rsidRPr="00A8483C">
        <w:rPr>
          <w:rFonts w:ascii="Times New Roman" w:hAnsi="Times New Roman"/>
          <w:b/>
          <w:sz w:val="24"/>
          <w:szCs w:val="24"/>
        </w:rPr>
        <w:t>.1</w:t>
      </w:r>
      <w:r w:rsidRPr="00A8483C">
        <w:rPr>
          <w:rFonts w:ascii="Times New Roman" w:hAnsi="Times New Roman"/>
          <w:b/>
          <w:sz w:val="24"/>
          <w:szCs w:val="24"/>
        </w:rPr>
        <w:t xml:space="preserve"> del Reg</w:t>
      </w:r>
      <w:r w:rsidR="00F55BEE">
        <w:rPr>
          <w:rFonts w:ascii="Times New Roman" w:hAnsi="Times New Roman"/>
          <w:b/>
          <w:sz w:val="24"/>
          <w:szCs w:val="24"/>
        </w:rPr>
        <w:t>.</w:t>
      </w:r>
      <w:r w:rsidRPr="00A8483C">
        <w:rPr>
          <w:rFonts w:ascii="Times New Roman" w:hAnsi="Times New Roman"/>
          <w:b/>
          <w:sz w:val="24"/>
          <w:szCs w:val="24"/>
        </w:rPr>
        <w:t xml:space="preserve"> </w:t>
      </w:r>
      <w:r w:rsidR="00BA1980">
        <w:rPr>
          <w:rFonts w:ascii="Times New Roman" w:hAnsi="Times New Roman"/>
          <w:b/>
          <w:sz w:val="24"/>
          <w:szCs w:val="24"/>
        </w:rPr>
        <w:t>(</w:t>
      </w:r>
      <w:r w:rsidRPr="00A8483C">
        <w:rPr>
          <w:rFonts w:ascii="Times New Roman" w:hAnsi="Times New Roman"/>
          <w:b/>
          <w:sz w:val="24"/>
          <w:szCs w:val="24"/>
        </w:rPr>
        <w:t>UE</w:t>
      </w:r>
      <w:r w:rsidR="00BA1980">
        <w:rPr>
          <w:rFonts w:ascii="Times New Roman" w:hAnsi="Times New Roman"/>
          <w:b/>
          <w:sz w:val="24"/>
          <w:szCs w:val="24"/>
        </w:rPr>
        <w:t>) n.</w:t>
      </w:r>
      <w:r w:rsidRPr="00A8483C">
        <w:rPr>
          <w:rFonts w:ascii="Times New Roman" w:hAnsi="Times New Roman"/>
          <w:b/>
          <w:sz w:val="24"/>
          <w:szCs w:val="24"/>
        </w:rPr>
        <w:t xml:space="preserve"> 1303/2013</w:t>
      </w:r>
      <w:r w:rsidR="000B6830" w:rsidRPr="00A8483C">
        <w:rPr>
          <w:rFonts w:ascii="Times New Roman" w:hAnsi="Times New Roman"/>
          <w:b/>
          <w:sz w:val="24"/>
          <w:szCs w:val="24"/>
        </w:rPr>
        <w:t>, lettere</w:t>
      </w:r>
      <w:r w:rsidRPr="00A8483C">
        <w:rPr>
          <w:rFonts w:ascii="Times New Roman" w:hAnsi="Times New Roman"/>
          <w:sz w:val="24"/>
          <w:szCs w:val="24"/>
        </w:rPr>
        <w:t>:</w:t>
      </w:r>
    </w:p>
    <w:p w:rsidR="0046097F" w:rsidRPr="00A8483C" w:rsidRDefault="0046097F" w:rsidP="004D7111">
      <w:pPr>
        <w:pStyle w:val="Paragrafoelenco"/>
        <w:jc w:val="both"/>
        <w:rPr>
          <w:rFonts w:ascii="Times New Roman" w:hAnsi="Times New Roman"/>
          <w:b/>
          <w:sz w:val="24"/>
          <w:szCs w:val="24"/>
        </w:rPr>
      </w:pPr>
    </w:p>
    <w:p w:rsidR="0046097F" w:rsidRPr="00E25236" w:rsidRDefault="0046097F" w:rsidP="0093020D">
      <w:pPr>
        <w:pStyle w:val="Paragrafoelenco"/>
        <w:numPr>
          <w:ilvl w:val="1"/>
          <w:numId w:val="26"/>
        </w:numPr>
        <w:jc w:val="both"/>
        <w:rPr>
          <w:rFonts w:ascii="Times New Roman" w:hAnsi="Times New Roman"/>
          <w:sz w:val="24"/>
          <w:szCs w:val="24"/>
        </w:rPr>
      </w:pPr>
      <w:r w:rsidRPr="00E25236">
        <w:rPr>
          <w:rFonts w:ascii="Times New Roman" w:hAnsi="Times New Roman"/>
          <w:sz w:val="24"/>
          <w:szCs w:val="24"/>
        </w:rPr>
        <w:t xml:space="preserve"> </w:t>
      </w:r>
      <w:r w:rsidRPr="00E25236">
        <w:rPr>
          <w:rFonts w:ascii="Times New Roman" w:hAnsi="Times New Roman"/>
          <w:b/>
          <w:sz w:val="24"/>
          <w:szCs w:val="24"/>
        </w:rPr>
        <w:t>rimborso sulla base</w:t>
      </w:r>
      <w:r w:rsidR="003A0625" w:rsidRPr="00E25236">
        <w:rPr>
          <w:rFonts w:ascii="Times New Roman" w:hAnsi="Times New Roman"/>
          <w:b/>
          <w:sz w:val="24"/>
          <w:szCs w:val="24"/>
        </w:rPr>
        <w:t xml:space="preserve"> di tabelle standard</w:t>
      </w:r>
      <w:r w:rsidRPr="00E25236">
        <w:rPr>
          <w:rFonts w:ascii="Times New Roman" w:hAnsi="Times New Roman"/>
          <w:b/>
          <w:sz w:val="24"/>
          <w:szCs w:val="24"/>
        </w:rPr>
        <w:t xml:space="preserve"> di costi unitari</w:t>
      </w:r>
      <w:r w:rsidRPr="00E25236">
        <w:rPr>
          <w:rFonts w:ascii="Times New Roman" w:hAnsi="Times New Roman"/>
          <w:sz w:val="24"/>
          <w:szCs w:val="24"/>
        </w:rPr>
        <w:t xml:space="preserve"> </w:t>
      </w:r>
      <w:r w:rsidR="00990FD6" w:rsidRPr="00E25236">
        <w:rPr>
          <w:rFonts w:ascii="Times New Roman" w:hAnsi="Times New Roman"/>
          <w:sz w:val="24"/>
          <w:szCs w:val="24"/>
        </w:rPr>
        <w:t>(</w:t>
      </w:r>
      <w:r w:rsidRPr="00E25236">
        <w:rPr>
          <w:rFonts w:ascii="Times New Roman" w:hAnsi="Times New Roman"/>
          <w:sz w:val="24"/>
          <w:szCs w:val="24"/>
        </w:rPr>
        <w:t xml:space="preserve">art. </w:t>
      </w:r>
      <w:r w:rsidR="00BA1980" w:rsidRPr="00E25236">
        <w:rPr>
          <w:rFonts w:ascii="Times New Roman" w:hAnsi="Times New Roman"/>
          <w:sz w:val="24"/>
          <w:szCs w:val="24"/>
        </w:rPr>
        <w:t xml:space="preserve">n. </w:t>
      </w:r>
      <w:r w:rsidRPr="00E25236">
        <w:rPr>
          <w:rFonts w:ascii="Times New Roman" w:hAnsi="Times New Roman"/>
          <w:sz w:val="24"/>
          <w:szCs w:val="24"/>
        </w:rPr>
        <w:t>67 1.b</w:t>
      </w:r>
      <w:r w:rsidR="00990FD6" w:rsidRPr="00E25236">
        <w:rPr>
          <w:rFonts w:ascii="Times New Roman" w:hAnsi="Times New Roman"/>
          <w:sz w:val="24"/>
          <w:szCs w:val="24"/>
        </w:rPr>
        <w:t>)</w:t>
      </w:r>
      <w:r w:rsidRPr="00E25236">
        <w:rPr>
          <w:rFonts w:ascii="Times New Roman" w:hAnsi="Times New Roman"/>
          <w:sz w:val="24"/>
          <w:szCs w:val="24"/>
        </w:rPr>
        <w:t xml:space="preserve">; </w:t>
      </w:r>
    </w:p>
    <w:p w:rsidR="0046097F" w:rsidRPr="00E25236" w:rsidRDefault="0046097F" w:rsidP="0093020D">
      <w:pPr>
        <w:pStyle w:val="Paragrafoelenco"/>
        <w:numPr>
          <w:ilvl w:val="1"/>
          <w:numId w:val="26"/>
        </w:numPr>
        <w:tabs>
          <w:tab w:val="left" w:pos="0"/>
        </w:tabs>
        <w:jc w:val="both"/>
        <w:rPr>
          <w:rFonts w:ascii="Times New Roman" w:hAnsi="Times New Roman"/>
          <w:sz w:val="24"/>
          <w:szCs w:val="24"/>
        </w:rPr>
      </w:pPr>
      <w:r w:rsidRPr="00E25236">
        <w:rPr>
          <w:rFonts w:ascii="Times New Roman" w:hAnsi="Times New Roman"/>
          <w:sz w:val="24"/>
          <w:szCs w:val="24"/>
        </w:rPr>
        <w:t>somme forfettarie non superiori a 100</w:t>
      </w:r>
      <w:r w:rsidR="00BA1980" w:rsidRPr="00E25236">
        <w:rPr>
          <w:rFonts w:ascii="Times New Roman" w:hAnsi="Times New Roman"/>
          <w:sz w:val="24"/>
          <w:szCs w:val="24"/>
        </w:rPr>
        <w:t>.</w:t>
      </w:r>
      <w:r w:rsidRPr="00E25236">
        <w:rPr>
          <w:rFonts w:ascii="Times New Roman" w:hAnsi="Times New Roman"/>
          <w:sz w:val="24"/>
          <w:szCs w:val="24"/>
        </w:rPr>
        <w:t>000</w:t>
      </w:r>
      <w:r w:rsidR="00BA1980" w:rsidRPr="00E25236">
        <w:rPr>
          <w:rFonts w:ascii="Times New Roman" w:hAnsi="Times New Roman"/>
          <w:sz w:val="24"/>
          <w:szCs w:val="24"/>
        </w:rPr>
        <w:t>,00</w:t>
      </w:r>
      <w:r w:rsidRPr="00E25236">
        <w:rPr>
          <w:rFonts w:ascii="Times New Roman" w:hAnsi="Times New Roman"/>
          <w:sz w:val="24"/>
          <w:szCs w:val="24"/>
        </w:rPr>
        <w:t xml:space="preserve"> EUR di contributo pubblico</w:t>
      </w:r>
      <w:r w:rsidR="00BA1980" w:rsidRPr="00E25236">
        <w:rPr>
          <w:rFonts w:ascii="Times New Roman" w:hAnsi="Times New Roman"/>
          <w:sz w:val="24"/>
          <w:szCs w:val="24"/>
        </w:rPr>
        <w:br/>
      </w:r>
      <w:r w:rsidRPr="00E25236">
        <w:rPr>
          <w:rFonts w:ascii="Times New Roman" w:hAnsi="Times New Roman"/>
          <w:sz w:val="24"/>
          <w:szCs w:val="24"/>
        </w:rPr>
        <w:t>(art.</w:t>
      </w:r>
      <w:r w:rsidR="00BA1980" w:rsidRPr="00E25236">
        <w:rPr>
          <w:rFonts w:ascii="Times New Roman" w:hAnsi="Times New Roman"/>
          <w:sz w:val="24"/>
          <w:szCs w:val="24"/>
        </w:rPr>
        <w:t xml:space="preserve"> n. </w:t>
      </w:r>
      <w:r w:rsidRPr="00E25236">
        <w:rPr>
          <w:rFonts w:ascii="Times New Roman" w:hAnsi="Times New Roman"/>
          <w:sz w:val="24"/>
          <w:szCs w:val="24"/>
        </w:rPr>
        <w:t>67.1.c);</w:t>
      </w:r>
    </w:p>
    <w:p w:rsidR="0046097F" w:rsidRPr="00E25236" w:rsidRDefault="0046097F" w:rsidP="0093020D">
      <w:pPr>
        <w:pStyle w:val="Paragrafoelenco"/>
        <w:numPr>
          <w:ilvl w:val="1"/>
          <w:numId w:val="26"/>
        </w:numPr>
        <w:rPr>
          <w:rFonts w:ascii="Times New Roman" w:hAnsi="Times New Roman"/>
          <w:sz w:val="24"/>
          <w:szCs w:val="24"/>
        </w:rPr>
      </w:pPr>
      <w:r w:rsidRPr="00E25236">
        <w:rPr>
          <w:rFonts w:ascii="Times New Roman" w:hAnsi="Times New Roman"/>
          <w:sz w:val="24"/>
          <w:szCs w:val="24"/>
        </w:rPr>
        <w:t>finanziamenti a tasso forfettario, calcolati applicando una determinata percentuale a una o più categorie di costo definite (art.</w:t>
      </w:r>
      <w:r w:rsidR="00BA1980" w:rsidRPr="00E25236">
        <w:rPr>
          <w:rFonts w:ascii="Times New Roman" w:hAnsi="Times New Roman"/>
          <w:sz w:val="24"/>
          <w:szCs w:val="24"/>
        </w:rPr>
        <w:t xml:space="preserve"> n. </w:t>
      </w:r>
      <w:r w:rsidRPr="00E25236">
        <w:rPr>
          <w:rFonts w:ascii="Times New Roman" w:hAnsi="Times New Roman"/>
          <w:sz w:val="24"/>
          <w:szCs w:val="24"/>
        </w:rPr>
        <w:t>67.1.d).</w:t>
      </w:r>
    </w:p>
    <w:p w:rsidR="0046097F" w:rsidRPr="00A8483C" w:rsidRDefault="0046097F" w:rsidP="0046097F">
      <w:pPr>
        <w:pStyle w:val="Paragrafoelenco"/>
        <w:ind w:left="1440"/>
        <w:rPr>
          <w:rFonts w:ascii="Times New Roman" w:hAnsi="Times New Roman"/>
          <w:b/>
          <w:sz w:val="24"/>
          <w:szCs w:val="24"/>
        </w:rPr>
      </w:pPr>
    </w:p>
    <w:p w:rsidR="00166BB7" w:rsidRPr="00A8483C" w:rsidRDefault="0046097F" w:rsidP="0093020D">
      <w:pPr>
        <w:pStyle w:val="Paragrafoelenco"/>
        <w:numPr>
          <w:ilvl w:val="0"/>
          <w:numId w:val="26"/>
        </w:numPr>
        <w:rPr>
          <w:rFonts w:ascii="Times New Roman" w:hAnsi="Times New Roman"/>
          <w:sz w:val="24"/>
          <w:szCs w:val="24"/>
        </w:rPr>
      </w:pPr>
      <w:r w:rsidRPr="00A8483C">
        <w:rPr>
          <w:rFonts w:ascii="Times New Roman" w:hAnsi="Times New Roman"/>
          <w:b/>
          <w:sz w:val="24"/>
          <w:szCs w:val="24"/>
        </w:rPr>
        <w:t xml:space="preserve">Costi semplificati, di cui al </w:t>
      </w:r>
      <w:r w:rsidR="00F55BEE">
        <w:rPr>
          <w:rFonts w:ascii="Times New Roman" w:hAnsi="Times New Roman"/>
          <w:b/>
          <w:sz w:val="24"/>
          <w:szCs w:val="24"/>
        </w:rPr>
        <w:t>R</w:t>
      </w:r>
      <w:r w:rsidRPr="00A8483C">
        <w:rPr>
          <w:rFonts w:ascii="Times New Roman" w:hAnsi="Times New Roman"/>
          <w:b/>
          <w:sz w:val="24"/>
          <w:szCs w:val="24"/>
        </w:rPr>
        <w:t>eg</w:t>
      </w:r>
      <w:r w:rsidR="00F55BEE">
        <w:rPr>
          <w:rFonts w:ascii="Times New Roman" w:hAnsi="Times New Roman"/>
          <w:b/>
          <w:sz w:val="24"/>
          <w:szCs w:val="24"/>
        </w:rPr>
        <w:t>. (UE)</w:t>
      </w:r>
      <w:r w:rsidRPr="00A8483C">
        <w:rPr>
          <w:rFonts w:ascii="Times New Roman" w:hAnsi="Times New Roman"/>
          <w:b/>
          <w:sz w:val="24"/>
          <w:szCs w:val="24"/>
        </w:rPr>
        <w:t xml:space="preserve"> </w:t>
      </w:r>
      <w:r w:rsidR="00BA1980">
        <w:rPr>
          <w:rFonts w:ascii="Times New Roman" w:hAnsi="Times New Roman"/>
          <w:b/>
          <w:sz w:val="24"/>
          <w:szCs w:val="24"/>
        </w:rPr>
        <w:t xml:space="preserve">n. </w:t>
      </w:r>
      <w:r w:rsidRPr="00A8483C">
        <w:rPr>
          <w:rFonts w:ascii="Times New Roman" w:hAnsi="Times New Roman"/>
          <w:b/>
          <w:sz w:val="24"/>
          <w:szCs w:val="24"/>
        </w:rPr>
        <w:t>1305/2013</w:t>
      </w:r>
      <w:r w:rsidR="00166BB7" w:rsidRPr="00A8483C">
        <w:rPr>
          <w:rFonts w:ascii="Times New Roman" w:hAnsi="Times New Roman"/>
          <w:b/>
          <w:sz w:val="24"/>
          <w:szCs w:val="24"/>
        </w:rPr>
        <w:t>.</w:t>
      </w:r>
    </w:p>
    <w:p w:rsidR="0046097F" w:rsidRPr="00E25236" w:rsidRDefault="00166BB7" w:rsidP="00EA213D">
      <w:pPr>
        <w:pStyle w:val="Paragrafoelenco"/>
        <w:rPr>
          <w:rFonts w:ascii="Times New Roman" w:hAnsi="Times New Roman"/>
          <w:sz w:val="24"/>
          <w:szCs w:val="24"/>
        </w:rPr>
      </w:pPr>
      <w:r w:rsidRPr="00E25236">
        <w:rPr>
          <w:rFonts w:ascii="Times New Roman" w:hAnsi="Times New Roman"/>
          <w:sz w:val="24"/>
          <w:szCs w:val="24"/>
        </w:rPr>
        <w:t>Oltre alle regole generali sui costi semplificati previste dal Reg</w:t>
      </w:r>
      <w:r w:rsidR="00F55BEE" w:rsidRPr="00E25236">
        <w:rPr>
          <w:rFonts w:ascii="Times New Roman" w:hAnsi="Times New Roman"/>
          <w:sz w:val="24"/>
          <w:szCs w:val="24"/>
        </w:rPr>
        <w:t xml:space="preserve">. (UE) n. </w:t>
      </w:r>
      <w:r w:rsidRPr="00E25236">
        <w:rPr>
          <w:rFonts w:ascii="Times New Roman" w:hAnsi="Times New Roman"/>
          <w:sz w:val="24"/>
          <w:szCs w:val="24"/>
        </w:rPr>
        <w:t>1303</w:t>
      </w:r>
      <w:r w:rsidR="00BA1980" w:rsidRPr="00E25236">
        <w:rPr>
          <w:rFonts w:ascii="Times New Roman" w:hAnsi="Times New Roman"/>
          <w:sz w:val="24"/>
          <w:szCs w:val="24"/>
        </w:rPr>
        <w:t>/2013</w:t>
      </w:r>
      <w:r w:rsidRPr="00E25236">
        <w:rPr>
          <w:rFonts w:ascii="Times New Roman" w:hAnsi="Times New Roman"/>
          <w:sz w:val="24"/>
          <w:szCs w:val="24"/>
        </w:rPr>
        <w:t xml:space="preserve">,  il </w:t>
      </w:r>
      <w:r w:rsidR="00F55BEE" w:rsidRPr="00E25236">
        <w:rPr>
          <w:rFonts w:ascii="Times New Roman" w:hAnsi="Times New Roman"/>
          <w:sz w:val="24"/>
          <w:szCs w:val="24"/>
        </w:rPr>
        <w:t>Reg. (UE) n. 1305/2013,</w:t>
      </w:r>
      <w:r w:rsidRPr="00E25236">
        <w:rPr>
          <w:rFonts w:ascii="Times New Roman" w:hAnsi="Times New Roman"/>
          <w:sz w:val="24"/>
          <w:szCs w:val="24"/>
        </w:rPr>
        <w:t xml:space="preserve"> individua un terzo gruppo di costi semplificati</w:t>
      </w:r>
      <w:r w:rsidR="00E25236">
        <w:rPr>
          <w:rFonts w:ascii="Times New Roman" w:hAnsi="Times New Roman"/>
          <w:sz w:val="24"/>
          <w:szCs w:val="24"/>
        </w:rPr>
        <w:t>.</w:t>
      </w:r>
      <w:r w:rsidRPr="00E25236">
        <w:rPr>
          <w:rFonts w:ascii="Times New Roman" w:hAnsi="Times New Roman"/>
          <w:sz w:val="24"/>
          <w:szCs w:val="24"/>
        </w:rPr>
        <w:t xml:space="preserve"> </w:t>
      </w:r>
    </w:p>
    <w:p w:rsidR="0046097F" w:rsidRPr="00A8483C" w:rsidRDefault="00672BDE" w:rsidP="0093020D">
      <w:pPr>
        <w:pStyle w:val="Paragrafoelenco"/>
        <w:numPr>
          <w:ilvl w:val="0"/>
          <w:numId w:val="27"/>
        </w:numPr>
        <w:jc w:val="both"/>
        <w:rPr>
          <w:rFonts w:ascii="Times New Roman" w:hAnsi="Times New Roman"/>
          <w:sz w:val="24"/>
          <w:szCs w:val="24"/>
        </w:rPr>
      </w:pPr>
      <w:r>
        <w:rPr>
          <w:rFonts w:ascii="Times New Roman" w:hAnsi="Times New Roman"/>
          <w:b/>
          <w:sz w:val="24"/>
          <w:szCs w:val="24"/>
        </w:rPr>
        <w:t>Pagamento calcolato</w:t>
      </w:r>
      <w:r w:rsidR="0046097F" w:rsidRPr="001A2FA7">
        <w:rPr>
          <w:rFonts w:ascii="Times New Roman" w:hAnsi="Times New Roman"/>
          <w:b/>
          <w:sz w:val="24"/>
          <w:szCs w:val="24"/>
        </w:rPr>
        <w:t xml:space="preserve"> sulla base di ipotesi standard </w:t>
      </w:r>
      <w:r w:rsidR="000B6830" w:rsidRPr="001A2FA7">
        <w:rPr>
          <w:rFonts w:ascii="Times New Roman" w:hAnsi="Times New Roman"/>
          <w:b/>
          <w:sz w:val="24"/>
          <w:szCs w:val="24"/>
        </w:rPr>
        <w:t>di</w:t>
      </w:r>
      <w:r w:rsidR="0046097F" w:rsidRPr="001A2FA7">
        <w:rPr>
          <w:rFonts w:ascii="Times New Roman" w:hAnsi="Times New Roman"/>
          <w:b/>
          <w:sz w:val="24"/>
          <w:szCs w:val="24"/>
        </w:rPr>
        <w:t xml:space="preserve"> costi aggiuntivi e mancato guadagno,</w:t>
      </w:r>
      <w:r w:rsidR="0046097F" w:rsidRPr="00A8483C">
        <w:rPr>
          <w:rFonts w:ascii="Times New Roman" w:hAnsi="Times New Roman"/>
          <w:sz w:val="24"/>
          <w:szCs w:val="24"/>
        </w:rPr>
        <w:t xml:space="preserve"> di cui all’art.10 </w:t>
      </w:r>
      <w:r w:rsidR="00BA1980">
        <w:rPr>
          <w:rFonts w:ascii="Times New Roman" w:hAnsi="Times New Roman"/>
          <w:sz w:val="24"/>
          <w:szCs w:val="24"/>
        </w:rPr>
        <w:t xml:space="preserve">del </w:t>
      </w:r>
      <w:r w:rsidR="00F55BEE">
        <w:rPr>
          <w:rFonts w:ascii="Times New Roman" w:hAnsi="Times New Roman"/>
          <w:sz w:val="24"/>
          <w:szCs w:val="24"/>
        </w:rPr>
        <w:t>R</w:t>
      </w:r>
      <w:r w:rsidR="00BA1980">
        <w:rPr>
          <w:rFonts w:ascii="Times New Roman" w:hAnsi="Times New Roman"/>
          <w:sz w:val="24"/>
          <w:szCs w:val="24"/>
        </w:rPr>
        <w:t>eg. (UE) n.</w:t>
      </w:r>
      <w:r w:rsidR="0046097F" w:rsidRPr="00A8483C">
        <w:rPr>
          <w:rFonts w:ascii="Times New Roman" w:hAnsi="Times New Roman"/>
          <w:sz w:val="24"/>
          <w:szCs w:val="24"/>
        </w:rPr>
        <w:t xml:space="preserve"> 808/2014 in base al quale “1. Gli Stati membri possono fissare l’importo dei pagamenti per le misure o i tipi di operazioni di cui agli art</w:t>
      </w:r>
      <w:r w:rsidR="00F55BEE">
        <w:rPr>
          <w:rFonts w:ascii="Times New Roman" w:hAnsi="Times New Roman"/>
          <w:sz w:val="24"/>
          <w:szCs w:val="24"/>
        </w:rPr>
        <w:t>t.</w:t>
      </w:r>
      <w:r w:rsidR="0046097F" w:rsidRPr="00A8483C">
        <w:rPr>
          <w:rFonts w:ascii="Times New Roman" w:hAnsi="Times New Roman"/>
          <w:sz w:val="24"/>
          <w:szCs w:val="24"/>
        </w:rPr>
        <w:t xml:space="preserve"> da 28 a 31</w:t>
      </w:r>
      <w:r w:rsidR="00B87D6B" w:rsidRPr="00A8483C">
        <w:rPr>
          <w:rFonts w:ascii="Times New Roman" w:hAnsi="Times New Roman"/>
          <w:sz w:val="24"/>
          <w:szCs w:val="24"/>
        </w:rPr>
        <w:t xml:space="preserve"> (misure a superficie</w:t>
      </w:r>
      <w:r w:rsidR="000B6830" w:rsidRPr="00A8483C">
        <w:rPr>
          <w:rFonts w:ascii="Times New Roman" w:hAnsi="Times New Roman"/>
          <w:sz w:val="24"/>
          <w:szCs w:val="24"/>
        </w:rPr>
        <w:t>)</w:t>
      </w:r>
      <w:r w:rsidR="0046097F" w:rsidRPr="00A8483C">
        <w:rPr>
          <w:rFonts w:ascii="Times New Roman" w:hAnsi="Times New Roman"/>
          <w:sz w:val="24"/>
          <w:szCs w:val="24"/>
        </w:rPr>
        <w:t xml:space="preserve"> e agli art</w:t>
      </w:r>
      <w:r w:rsidR="00F55BEE">
        <w:rPr>
          <w:rFonts w:ascii="Times New Roman" w:hAnsi="Times New Roman"/>
          <w:sz w:val="24"/>
          <w:szCs w:val="24"/>
        </w:rPr>
        <w:t>t.</w:t>
      </w:r>
      <w:r w:rsidR="0046097F" w:rsidRPr="00A8483C">
        <w:rPr>
          <w:rFonts w:ascii="Times New Roman" w:hAnsi="Times New Roman"/>
          <w:sz w:val="24"/>
          <w:szCs w:val="24"/>
        </w:rPr>
        <w:t xml:space="preserve"> 33</w:t>
      </w:r>
      <w:r w:rsidR="00A16CB3" w:rsidRPr="00A8483C">
        <w:rPr>
          <w:rFonts w:ascii="Times New Roman" w:hAnsi="Times New Roman"/>
          <w:sz w:val="24"/>
          <w:szCs w:val="24"/>
        </w:rPr>
        <w:t xml:space="preserve"> </w:t>
      </w:r>
      <w:r w:rsidR="000B6830" w:rsidRPr="00A8483C">
        <w:rPr>
          <w:rFonts w:ascii="Times New Roman" w:hAnsi="Times New Roman"/>
          <w:sz w:val="24"/>
          <w:szCs w:val="24"/>
        </w:rPr>
        <w:t>(Benessere degli animali)</w:t>
      </w:r>
      <w:r w:rsidR="0046097F" w:rsidRPr="00A8483C">
        <w:rPr>
          <w:rFonts w:ascii="Times New Roman" w:hAnsi="Times New Roman"/>
          <w:sz w:val="24"/>
          <w:szCs w:val="24"/>
        </w:rPr>
        <w:t xml:space="preserve"> e 34 </w:t>
      </w:r>
      <w:r w:rsidR="00A16CB3" w:rsidRPr="00A8483C">
        <w:rPr>
          <w:rFonts w:ascii="Times New Roman" w:hAnsi="Times New Roman"/>
          <w:sz w:val="24"/>
          <w:szCs w:val="24"/>
        </w:rPr>
        <w:t>(</w:t>
      </w:r>
      <w:r w:rsidR="000B6830" w:rsidRPr="00A8483C">
        <w:rPr>
          <w:rFonts w:ascii="Times New Roman" w:hAnsi="Times New Roman"/>
          <w:sz w:val="24"/>
          <w:szCs w:val="24"/>
        </w:rPr>
        <w:t>Servizi silvo-ambientali e climatici salvaguardia delle foreste</w:t>
      </w:r>
      <w:r w:rsidR="00B87D6B" w:rsidRPr="00A8483C">
        <w:rPr>
          <w:rFonts w:ascii="Times New Roman" w:hAnsi="Times New Roman"/>
          <w:sz w:val="24"/>
          <w:szCs w:val="24"/>
        </w:rPr>
        <w:t xml:space="preserve">) </w:t>
      </w:r>
      <w:r w:rsidR="0046097F" w:rsidRPr="00A8483C">
        <w:rPr>
          <w:rFonts w:ascii="Times New Roman" w:hAnsi="Times New Roman"/>
          <w:sz w:val="24"/>
          <w:szCs w:val="24"/>
        </w:rPr>
        <w:t xml:space="preserve">del </w:t>
      </w:r>
      <w:r w:rsidR="00F55BEE">
        <w:rPr>
          <w:rFonts w:ascii="Times New Roman" w:hAnsi="Times New Roman"/>
          <w:sz w:val="24"/>
          <w:szCs w:val="24"/>
        </w:rPr>
        <w:t>Reg.</w:t>
      </w:r>
      <w:r w:rsidR="0046097F" w:rsidRPr="00A8483C">
        <w:rPr>
          <w:rFonts w:ascii="Times New Roman" w:hAnsi="Times New Roman"/>
          <w:sz w:val="24"/>
          <w:szCs w:val="24"/>
        </w:rPr>
        <w:t xml:space="preserve"> (UE) n. 1305/2013 sulla base di ipotesi standard di costi aggiuntivi e mancato guadagno.”</w:t>
      </w:r>
    </w:p>
    <w:p w:rsidR="0046097F" w:rsidRPr="00A8483C" w:rsidRDefault="0046097F" w:rsidP="0093020D">
      <w:pPr>
        <w:pStyle w:val="Paragrafoelenco"/>
        <w:numPr>
          <w:ilvl w:val="0"/>
          <w:numId w:val="27"/>
        </w:numPr>
        <w:jc w:val="both"/>
        <w:rPr>
          <w:rFonts w:ascii="Times New Roman" w:hAnsi="Times New Roman"/>
          <w:sz w:val="24"/>
          <w:szCs w:val="24"/>
        </w:rPr>
      </w:pPr>
      <w:r w:rsidRPr="00A8483C">
        <w:rPr>
          <w:rFonts w:ascii="Times New Roman" w:hAnsi="Times New Roman"/>
          <w:b/>
          <w:sz w:val="24"/>
          <w:szCs w:val="24"/>
        </w:rPr>
        <w:lastRenderedPageBreak/>
        <w:t xml:space="preserve">Somme forfettarie, di cui </w:t>
      </w:r>
      <w:r w:rsidR="00F55BEE">
        <w:rPr>
          <w:rFonts w:ascii="Times New Roman" w:hAnsi="Times New Roman"/>
          <w:b/>
          <w:sz w:val="24"/>
          <w:szCs w:val="24"/>
        </w:rPr>
        <w:t>all’</w:t>
      </w:r>
      <w:r w:rsidRPr="00A8483C">
        <w:rPr>
          <w:rFonts w:ascii="Times New Roman" w:hAnsi="Times New Roman"/>
          <w:b/>
          <w:sz w:val="24"/>
          <w:szCs w:val="24"/>
        </w:rPr>
        <w:t xml:space="preserve">art. 19 par. 1 lett a) e c) del </w:t>
      </w:r>
      <w:r w:rsidR="00F55BEE">
        <w:rPr>
          <w:rFonts w:ascii="Times New Roman" w:hAnsi="Times New Roman"/>
          <w:b/>
          <w:sz w:val="24"/>
          <w:szCs w:val="24"/>
        </w:rPr>
        <w:t xml:space="preserve">Reg. (UE) n. </w:t>
      </w:r>
      <w:r w:rsidRPr="00A8483C">
        <w:rPr>
          <w:rFonts w:ascii="Times New Roman" w:hAnsi="Times New Roman"/>
          <w:b/>
          <w:sz w:val="24"/>
          <w:szCs w:val="24"/>
        </w:rPr>
        <w:t>1305</w:t>
      </w:r>
      <w:r w:rsidR="00140A3D" w:rsidRPr="00A8483C">
        <w:rPr>
          <w:rFonts w:ascii="Times New Roman" w:hAnsi="Times New Roman"/>
          <w:b/>
          <w:sz w:val="24"/>
          <w:szCs w:val="24"/>
        </w:rPr>
        <w:t>/201</w:t>
      </w:r>
      <w:r w:rsidR="00BA1980">
        <w:rPr>
          <w:rFonts w:ascii="Times New Roman" w:hAnsi="Times New Roman"/>
          <w:b/>
          <w:sz w:val="24"/>
          <w:szCs w:val="24"/>
        </w:rPr>
        <w:t>3</w:t>
      </w:r>
      <w:r w:rsidR="003A0625" w:rsidRPr="00A8483C">
        <w:rPr>
          <w:rFonts w:ascii="Times New Roman" w:hAnsi="Times New Roman"/>
          <w:b/>
          <w:sz w:val="24"/>
          <w:szCs w:val="24"/>
        </w:rPr>
        <w:t xml:space="preserve"> </w:t>
      </w:r>
      <w:r w:rsidR="00B87D6B" w:rsidRPr="00A8483C">
        <w:rPr>
          <w:rFonts w:ascii="Times New Roman" w:hAnsi="Times New Roman"/>
          <w:sz w:val="24"/>
          <w:szCs w:val="24"/>
        </w:rPr>
        <w:t>(aiuti all'avviamento di imprese per: i) i giovani agricoltori; ii) attività extra-agricole nelle zone rurali; iii) lo sviluppo di piccole aziende agricole;</w:t>
      </w:r>
    </w:p>
    <w:p w:rsidR="0046097F" w:rsidRPr="00A8483C" w:rsidRDefault="0046097F" w:rsidP="0093020D">
      <w:pPr>
        <w:pStyle w:val="Paragrafoelenco"/>
        <w:numPr>
          <w:ilvl w:val="0"/>
          <w:numId w:val="27"/>
        </w:numPr>
        <w:jc w:val="both"/>
        <w:rPr>
          <w:rFonts w:ascii="Times New Roman" w:hAnsi="Times New Roman"/>
          <w:sz w:val="24"/>
          <w:szCs w:val="24"/>
        </w:rPr>
      </w:pPr>
      <w:r w:rsidRPr="00A8483C">
        <w:rPr>
          <w:rFonts w:ascii="Times New Roman" w:hAnsi="Times New Roman"/>
          <w:b/>
          <w:sz w:val="24"/>
          <w:szCs w:val="24"/>
        </w:rPr>
        <w:t xml:space="preserve">Finanziamento a tasso forfettario di cui all’articolo 27 del </w:t>
      </w:r>
      <w:r w:rsidR="00F55BEE">
        <w:rPr>
          <w:rFonts w:ascii="Times New Roman" w:hAnsi="Times New Roman"/>
          <w:b/>
          <w:sz w:val="24"/>
          <w:szCs w:val="24"/>
        </w:rPr>
        <w:t xml:space="preserve">Reg. (UE) </w:t>
      </w:r>
      <w:r w:rsidR="00F55BEE">
        <w:rPr>
          <w:rFonts w:ascii="Times New Roman" w:hAnsi="Times New Roman"/>
          <w:b/>
          <w:sz w:val="24"/>
          <w:szCs w:val="24"/>
        </w:rPr>
        <w:br/>
        <w:t xml:space="preserve">n. </w:t>
      </w:r>
      <w:r w:rsidR="00F55BEE" w:rsidRPr="00A8483C">
        <w:rPr>
          <w:rFonts w:ascii="Times New Roman" w:hAnsi="Times New Roman"/>
          <w:b/>
          <w:sz w:val="24"/>
          <w:szCs w:val="24"/>
        </w:rPr>
        <w:t>1305/201</w:t>
      </w:r>
      <w:r w:rsidR="00F55BEE">
        <w:rPr>
          <w:rFonts w:ascii="Times New Roman" w:hAnsi="Times New Roman"/>
          <w:b/>
          <w:sz w:val="24"/>
          <w:szCs w:val="24"/>
        </w:rPr>
        <w:t>3</w:t>
      </w:r>
      <w:r w:rsidR="00F55BEE" w:rsidRPr="00A8483C">
        <w:rPr>
          <w:rFonts w:ascii="Times New Roman" w:hAnsi="Times New Roman"/>
          <w:b/>
          <w:sz w:val="24"/>
          <w:szCs w:val="24"/>
        </w:rPr>
        <w:t xml:space="preserve"> </w:t>
      </w:r>
      <w:r w:rsidR="00A16CB3" w:rsidRPr="00A8483C">
        <w:rPr>
          <w:rFonts w:ascii="Times New Roman" w:hAnsi="Times New Roman"/>
          <w:sz w:val="24"/>
          <w:szCs w:val="24"/>
        </w:rPr>
        <w:t>(Costituzione di associazioni e organizzazioni di produttori);</w:t>
      </w:r>
    </w:p>
    <w:p w:rsidR="0046097F" w:rsidRPr="00CB7B99" w:rsidRDefault="0046097F" w:rsidP="0093020D">
      <w:pPr>
        <w:pStyle w:val="Paragrafoelenco"/>
        <w:numPr>
          <w:ilvl w:val="0"/>
          <w:numId w:val="27"/>
        </w:numPr>
      </w:pPr>
      <w:r w:rsidRPr="00A8483C">
        <w:rPr>
          <w:rFonts w:ascii="Times New Roman" w:hAnsi="Times New Roman"/>
          <w:b/>
          <w:sz w:val="24"/>
          <w:szCs w:val="24"/>
        </w:rPr>
        <w:t>Gestione del rischio</w:t>
      </w:r>
    </w:p>
    <w:p w:rsidR="0046097F" w:rsidRPr="000F67D7" w:rsidRDefault="0046097F" w:rsidP="0046097F">
      <w:pPr>
        <w:jc w:val="both"/>
        <w:rPr>
          <w:color w:val="000000"/>
        </w:rPr>
      </w:pPr>
      <w:r w:rsidRPr="000F67D7">
        <w:rPr>
          <w:color w:val="000000"/>
        </w:rPr>
        <w:t>Non tutte le misure di sviluppo rurale possono essere cofinanziate indifferentemente in base a costi reali o in base a costi semplificati. Si evidenzia che alcune misure di sviluppo rurale possono essere indifferentemente cofinanziate in base a costi reali di cui al punto 1) o attraverso forme di costi sempli</w:t>
      </w:r>
      <w:r w:rsidR="00A8483C" w:rsidRPr="000F67D7">
        <w:rPr>
          <w:color w:val="000000"/>
        </w:rPr>
        <w:t>f</w:t>
      </w:r>
      <w:r w:rsidRPr="000F67D7">
        <w:rPr>
          <w:color w:val="000000"/>
        </w:rPr>
        <w:t>icati di cui al punto 2) oppure tramite una combinazione delle forme di sostegno</w:t>
      </w:r>
      <w:r w:rsidR="008E5C9A" w:rsidRPr="000F67D7">
        <w:rPr>
          <w:color w:val="000000"/>
        </w:rPr>
        <w:t>,</w:t>
      </w:r>
      <w:r w:rsidRPr="000F67D7">
        <w:rPr>
          <w:color w:val="000000"/>
        </w:rPr>
        <w:t xml:space="preserve"> a determinate condizioni. Altre misure invece possono essere finanziate solamente attraverso le forme di costo semplificato indicate al punto 3).  </w:t>
      </w:r>
    </w:p>
    <w:p w:rsidR="004D7111" w:rsidRPr="000F67D7" w:rsidRDefault="004D7111" w:rsidP="0046097F">
      <w:pPr>
        <w:jc w:val="both"/>
        <w:rPr>
          <w:color w:val="000000"/>
        </w:rPr>
      </w:pPr>
    </w:p>
    <w:p w:rsidR="0046097F" w:rsidRPr="000F67D7" w:rsidRDefault="0046097F" w:rsidP="0046097F">
      <w:pPr>
        <w:jc w:val="both"/>
        <w:rPr>
          <w:color w:val="000000"/>
        </w:rPr>
      </w:pPr>
      <w:r w:rsidRPr="000F67D7">
        <w:rPr>
          <w:color w:val="000000"/>
        </w:rPr>
        <w:t xml:space="preserve">In allegato  al presente documento si riporta una tabella riepilogativa (allegato </w:t>
      </w:r>
      <w:r w:rsidR="003F6A88">
        <w:rPr>
          <w:color w:val="000000"/>
        </w:rPr>
        <w:t>2</w:t>
      </w:r>
      <w:r w:rsidRPr="000F67D7">
        <w:rPr>
          <w:color w:val="000000"/>
        </w:rPr>
        <w:t>) che illustra l’applicabilità per ciascuna sottomisura delle categoria di costo sopracitate.</w:t>
      </w:r>
    </w:p>
    <w:p w:rsidR="004D7111" w:rsidRPr="000F67D7" w:rsidRDefault="004D7111" w:rsidP="0046097F">
      <w:pPr>
        <w:jc w:val="both"/>
        <w:rPr>
          <w:color w:val="000000"/>
        </w:rPr>
      </w:pPr>
    </w:p>
    <w:p w:rsidR="0046097F" w:rsidRPr="000F67D7" w:rsidRDefault="0046097F" w:rsidP="0046097F">
      <w:pPr>
        <w:jc w:val="both"/>
        <w:rPr>
          <w:color w:val="000000"/>
        </w:rPr>
      </w:pPr>
      <w:r w:rsidRPr="000F67D7">
        <w:rPr>
          <w:color w:val="000000"/>
        </w:rPr>
        <w:t>Le opzioni per tutte le sovvenzioni possono essere combinate tra loro unicamente se ciascuna opzione copre categorie di costi differenti, o se sono utilizzate per progetti diversi facenti parte di un'operazione o per fasi successive di un'operazione.</w:t>
      </w:r>
    </w:p>
    <w:p w:rsidR="00AD35B0" w:rsidRPr="000F67D7" w:rsidRDefault="00AD35B0" w:rsidP="00EA213D">
      <w:pPr>
        <w:jc w:val="both"/>
        <w:rPr>
          <w:b/>
        </w:rPr>
      </w:pPr>
    </w:p>
    <w:p w:rsidR="00AD35B0" w:rsidRPr="000F67D7" w:rsidRDefault="00200CFD" w:rsidP="00EA213D">
      <w:pPr>
        <w:jc w:val="both"/>
        <w:rPr>
          <w:color w:val="000000"/>
        </w:rPr>
      </w:pPr>
      <w:r w:rsidRPr="000F67D7">
        <w:rPr>
          <w:color w:val="000000"/>
        </w:rPr>
        <w:t xml:space="preserve">Per quanto riguarda </w:t>
      </w:r>
      <w:r w:rsidR="00504D0C" w:rsidRPr="000F67D7">
        <w:rPr>
          <w:color w:val="000000"/>
        </w:rPr>
        <w:t>ulteriori catalogazioni dei co</w:t>
      </w:r>
      <w:r w:rsidR="00FD4078" w:rsidRPr="000F67D7">
        <w:rPr>
          <w:color w:val="000000"/>
        </w:rPr>
        <w:t>s</w:t>
      </w:r>
      <w:r w:rsidR="00504D0C" w:rsidRPr="000F67D7">
        <w:rPr>
          <w:color w:val="000000"/>
        </w:rPr>
        <w:t>ti in base alla natura specifica degli stessi, si</w:t>
      </w:r>
      <w:r w:rsidRPr="000F67D7">
        <w:rPr>
          <w:color w:val="000000"/>
        </w:rPr>
        <w:t xml:space="preserve"> possono </w:t>
      </w:r>
      <w:r w:rsidR="00504D0C" w:rsidRPr="000F67D7">
        <w:rPr>
          <w:color w:val="000000"/>
        </w:rPr>
        <w:t xml:space="preserve">individuare </w:t>
      </w:r>
      <w:r w:rsidR="00FD4078" w:rsidRPr="000F67D7">
        <w:rPr>
          <w:color w:val="000000"/>
        </w:rPr>
        <w:t>altre</w:t>
      </w:r>
      <w:r w:rsidR="00504D0C" w:rsidRPr="000F67D7">
        <w:rPr>
          <w:color w:val="000000"/>
        </w:rPr>
        <w:t xml:space="preserve"> due categorie, i costi diretti ed i costi indiretti:</w:t>
      </w:r>
    </w:p>
    <w:p w:rsidR="004D7111" w:rsidRPr="000F67D7" w:rsidRDefault="004D7111" w:rsidP="00EA213D">
      <w:pPr>
        <w:jc w:val="both"/>
        <w:rPr>
          <w:color w:val="000000"/>
        </w:rPr>
      </w:pPr>
    </w:p>
    <w:p w:rsidR="00AD35B0" w:rsidRPr="000F67D7" w:rsidRDefault="00210CCF" w:rsidP="00EA213D">
      <w:pPr>
        <w:jc w:val="both"/>
        <w:rPr>
          <w:color w:val="000000"/>
        </w:rPr>
      </w:pPr>
      <w:r w:rsidRPr="000F67D7">
        <w:rPr>
          <w:color w:val="000000"/>
        </w:rPr>
        <w:t xml:space="preserve">• I </w:t>
      </w:r>
      <w:r w:rsidR="00C271A0" w:rsidRPr="000F67D7">
        <w:rPr>
          <w:b/>
          <w:color w:val="000000"/>
        </w:rPr>
        <w:t>costi diretti</w:t>
      </w:r>
      <w:r w:rsidRPr="000F67D7">
        <w:rPr>
          <w:color w:val="000000"/>
        </w:rPr>
        <w:t xml:space="preserve"> sono i costi direttamente connessi ad una attività, dove può e</w:t>
      </w:r>
      <w:r w:rsidR="00504D0C" w:rsidRPr="000F67D7">
        <w:rPr>
          <w:color w:val="000000"/>
        </w:rPr>
        <w:t xml:space="preserve">ssere dimostrato il legame con </w:t>
      </w:r>
      <w:r w:rsidR="00200CFD" w:rsidRPr="000F67D7">
        <w:rPr>
          <w:color w:val="000000"/>
        </w:rPr>
        <w:t>la</w:t>
      </w:r>
      <w:r w:rsidRPr="000F67D7">
        <w:rPr>
          <w:color w:val="000000"/>
        </w:rPr>
        <w:t xml:space="preserve"> singola attività (ad esempio, attraverso la registrazione diretta).</w:t>
      </w:r>
    </w:p>
    <w:p w:rsidR="004D7111" w:rsidRPr="000F67D7" w:rsidRDefault="004D7111" w:rsidP="00EA213D">
      <w:pPr>
        <w:jc w:val="both"/>
        <w:rPr>
          <w:color w:val="000000"/>
        </w:rPr>
      </w:pPr>
    </w:p>
    <w:p w:rsidR="00AD35B0" w:rsidRPr="000F67D7" w:rsidRDefault="00210CCF" w:rsidP="00EA213D">
      <w:pPr>
        <w:jc w:val="both"/>
        <w:rPr>
          <w:color w:val="000000"/>
        </w:rPr>
      </w:pPr>
      <w:r w:rsidRPr="000F67D7">
        <w:rPr>
          <w:color w:val="000000"/>
        </w:rPr>
        <w:t xml:space="preserve">• I </w:t>
      </w:r>
      <w:r w:rsidR="00C271A0" w:rsidRPr="000F67D7">
        <w:rPr>
          <w:b/>
          <w:color w:val="000000"/>
        </w:rPr>
        <w:t>costi indirett</w:t>
      </w:r>
      <w:r w:rsidR="00504D0C" w:rsidRPr="000F67D7">
        <w:rPr>
          <w:b/>
          <w:color w:val="000000"/>
        </w:rPr>
        <w:t xml:space="preserve">i </w:t>
      </w:r>
      <w:r w:rsidRPr="000F67D7">
        <w:rPr>
          <w:color w:val="000000"/>
        </w:rPr>
        <w:t xml:space="preserve">di solito sono i costi che non sono o non possono essere collegati direttamente ad una attività </w:t>
      </w:r>
      <w:r w:rsidR="00200CFD" w:rsidRPr="000F67D7">
        <w:rPr>
          <w:color w:val="000000"/>
        </w:rPr>
        <w:t>specifica</w:t>
      </w:r>
      <w:r w:rsidRPr="000F67D7">
        <w:rPr>
          <w:color w:val="000000"/>
        </w:rPr>
        <w:t>. Tali costi</w:t>
      </w:r>
      <w:r w:rsidR="00200CFD" w:rsidRPr="000F67D7">
        <w:rPr>
          <w:color w:val="000000"/>
        </w:rPr>
        <w:t xml:space="preserve"> possono comprendere</w:t>
      </w:r>
      <w:r w:rsidRPr="000F67D7">
        <w:rPr>
          <w:color w:val="000000"/>
        </w:rPr>
        <w:t xml:space="preserve"> le spese amministrative, per le quali è difficile determinare con precisione l'importo attribuibile a</w:t>
      </w:r>
      <w:r w:rsidR="00200CFD" w:rsidRPr="000F67D7">
        <w:rPr>
          <w:color w:val="000000"/>
        </w:rPr>
        <w:t xml:space="preserve"> ciascuna</w:t>
      </w:r>
      <w:r w:rsidRPr="000F67D7">
        <w:rPr>
          <w:color w:val="000000"/>
        </w:rPr>
        <w:t xml:space="preserve"> attività come ad esempio: i costi di gestione, le spese di assunzione, i costi per il c</w:t>
      </w:r>
      <w:r w:rsidR="004D7111" w:rsidRPr="000F67D7">
        <w:rPr>
          <w:color w:val="000000"/>
        </w:rPr>
        <w:t>ommercialista o per le pulizie,</w:t>
      </w:r>
      <w:r w:rsidRPr="000F67D7">
        <w:rPr>
          <w:color w:val="000000"/>
        </w:rPr>
        <w:t xml:space="preserve"> telefono, acqua o le spese di energia e</w:t>
      </w:r>
      <w:r w:rsidR="008B2A1D">
        <w:rPr>
          <w:color w:val="000000"/>
        </w:rPr>
        <w:t>lettrica</w:t>
      </w:r>
      <w:r w:rsidRPr="000F67D7">
        <w:rPr>
          <w:color w:val="000000"/>
        </w:rPr>
        <w:t>.</w:t>
      </w:r>
    </w:p>
    <w:p w:rsidR="004D7111" w:rsidRPr="0088766B" w:rsidRDefault="004D7111" w:rsidP="005F36E5">
      <w:pPr>
        <w:ind w:left="720"/>
      </w:pPr>
    </w:p>
    <w:p w:rsidR="004D7111" w:rsidRDefault="004D7111" w:rsidP="005F36E5">
      <w:pPr>
        <w:ind w:left="720"/>
      </w:pPr>
    </w:p>
    <w:p w:rsidR="00A2314D" w:rsidRDefault="00BA2A59" w:rsidP="0093020D">
      <w:pPr>
        <w:pStyle w:val="Titolo"/>
        <w:numPr>
          <w:ilvl w:val="0"/>
          <w:numId w:val="5"/>
        </w:numPr>
        <w:ind w:right="126" w:hanging="720"/>
        <w:jc w:val="both"/>
      </w:pPr>
      <w:bookmarkStart w:id="3" w:name="_Toc432090696"/>
      <w:r>
        <w:t>CRITERI</w:t>
      </w:r>
      <w:r w:rsidR="00323A61">
        <w:t xml:space="preserve"> </w:t>
      </w:r>
      <w:r w:rsidR="00A2314D" w:rsidRPr="00811DC6">
        <w:t xml:space="preserve">GENERALI </w:t>
      </w:r>
      <w:r w:rsidR="00A2314D">
        <w:t>RELATIVI ALL</w:t>
      </w:r>
      <w:r w:rsidR="00A2314D" w:rsidRPr="00811DC6">
        <w:t>’AMMISSIBILITA’ DELLE SPESE</w:t>
      </w:r>
      <w:bookmarkEnd w:id="3"/>
    </w:p>
    <w:p w:rsidR="008A0B07" w:rsidRDefault="00CB3D98" w:rsidP="00273BE4">
      <w:pPr>
        <w:pStyle w:val="Titolo2"/>
        <w:ind w:right="126"/>
        <w:rPr>
          <w:snapToGrid w:val="0"/>
        </w:rPr>
      </w:pPr>
      <w:bookmarkStart w:id="4" w:name="_Toc432090697"/>
      <w:r w:rsidRPr="00181592">
        <w:t>Premessa</w:t>
      </w:r>
      <w:bookmarkEnd w:id="4"/>
    </w:p>
    <w:p w:rsidR="00C53C9D" w:rsidRPr="00EA213D" w:rsidRDefault="00C271A0" w:rsidP="00DE30F9">
      <w:pPr>
        <w:spacing w:before="120"/>
        <w:ind w:right="126"/>
        <w:jc w:val="both"/>
        <w:rPr>
          <w:snapToGrid w:val="0"/>
        </w:rPr>
      </w:pPr>
      <w:r w:rsidRPr="00511DD0">
        <w:rPr>
          <w:snapToGrid w:val="0"/>
        </w:rPr>
        <w:t xml:space="preserve">In generale, l’ammissibilità della spesa relativa a ciascun bene o servizio acquistati deve essere valutata in ragione del raggiungimento </w:t>
      </w:r>
      <w:r w:rsidRPr="00496230">
        <w:rPr>
          <w:snapToGrid w:val="0"/>
        </w:rPr>
        <w:t xml:space="preserve">degli obiettivi fissati </w:t>
      </w:r>
      <w:r w:rsidR="008B2A1D" w:rsidRPr="00496230">
        <w:rPr>
          <w:snapToGrid w:val="0"/>
        </w:rPr>
        <w:t>dal PSR</w:t>
      </w:r>
      <w:r w:rsidR="008B2A1D">
        <w:rPr>
          <w:snapToGrid w:val="0"/>
        </w:rPr>
        <w:t xml:space="preserve"> e dall</w:t>
      </w:r>
      <w:r w:rsidRPr="00511DD0">
        <w:rPr>
          <w:snapToGrid w:val="0"/>
        </w:rPr>
        <w:t>’oper</w:t>
      </w:r>
      <w:r w:rsidR="008B2A1D">
        <w:rPr>
          <w:snapToGrid w:val="0"/>
        </w:rPr>
        <w:t>azione da intraprendere. S</w:t>
      </w:r>
      <w:r w:rsidRPr="00511DD0">
        <w:rPr>
          <w:snapToGrid w:val="0"/>
        </w:rPr>
        <w:t>olo nel caso in cui tale bene o servizio risulti funzionale al raggiungimento d</w:t>
      </w:r>
      <w:r w:rsidRPr="00EA213D">
        <w:rPr>
          <w:snapToGrid w:val="0"/>
        </w:rPr>
        <w:t xml:space="preserve">i </w:t>
      </w:r>
      <w:r w:rsidR="008B2A1D">
        <w:rPr>
          <w:snapToGrid w:val="0"/>
        </w:rPr>
        <w:t xml:space="preserve">tali </w:t>
      </w:r>
      <w:r w:rsidRPr="00EA213D">
        <w:rPr>
          <w:snapToGrid w:val="0"/>
        </w:rPr>
        <w:t>obiettivi, la relativa spesa potrà essere giudicata ammissibile.</w:t>
      </w:r>
    </w:p>
    <w:p w:rsidR="00D95F6A" w:rsidRPr="002521F7" w:rsidRDefault="00C271A0" w:rsidP="00273BE4">
      <w:pPr>
        <w:pStyle w:val="Rientrocorpodeltesto2"/>
        <w:spacing w:before="120" w:after="0" w:line="240" w:lineRule="auto"/>
        <w:ind w:left="0" w:right="126"/>
        <w:jc w:val="both"/>
      </w:pPr>
      <w:r w:rsidRPr="00EA213D">
        <w:t>Oltre a ciò, nell’esprimere il giudizio di ammissibilità di una spesa si devono considerare una serie di aspetti, quali il contesto generale in cui il processo di spesa si origina, la natura del costo ed il suo importo, la destinazione fisica e temporale del bene o del servizio cui si riferisce, nonché l’ambito territoriale in cui il processo di spesa si svilupp</w:t>
      </w:r>
      <w:r w:rsidRPr="006D3394">
        <w:t>a.</w:t>
      </w:r>
    </w:p>
    <w:p w:rsidR="00CA5A6E" w:rsidRDefault="00240FB3" w:rsidP="0088766B">
      <w:pPr>
        <w:pStyle w:val="Rientrocorpodeltesto2"/>
        <w:spacing w:before="120" w:after="0" w:line="240" w:lineRule="auto"/>
        <w:ind w:left="0" w:right="126"/>
        <w:jc w:val="both"/>
      </w:pPr>
      <w:r w:rsidRPr="002521F7">
        <w:t>Affinché</w:t>
      </w:r>
      <w:r w:rsidR="00D95F6A" w:rsidRPr="002521F7">
        <w:t xml:space="preserve"> una spesa </w:t>
      </w:r>
      <w:r w:rsidR="00E40D30" w:rsidRPr="002521F7">
        <w:t xml:space="preserve">possa </w:t>
      </w:r>
      <w:r w:rsidR="00D95F6A" w:rsidRPr="002521F7">
        <w:t xml:space="preserve">essere </w:t>
      </w:r>
      <w:r w:rsidR="00E40D30" w:rsidRPr="002521F7">
        <w:t>considerata ammissibile</w:t>
      </w:r>
      <w:r w:rsidR="001F0E9F">
        <w:t>,</w:t>
      </w:r>
      <w:r w:rsidR="00E40D30" w:rsidRPr="002521F7">
        <w:t xml:space="preserve"> è </w:t>
      </w:r>
      <w:r w:rsidR="001F0E9F">
        <w:t xml:space="preserve">dunque </w:t>
      </w:r>
      <w:r w:rsidR="00E40D30" w:rsidRPr="002521F7">
        <w:t>necessario che</w:t>
      </w:r>
      <w:r w:rsidR="0088766B">
        <w:t xml:space="preserve"> </w:t>
      </w:r>
      <w:r w:rsidR="008B2A1D">
        <w:t>essa</w:t>
      </w:r>
      <w:r w:rsidR="00D95F6A" w:rsidRPr="002521F7">
        <w:t xml:space="preserve"> risult</w:t>
      </w:r>
      <w:r w:rsidR="00E40D30" w:rsidRPr="002521F7">
        <w:t>i</w:t>
      </w:r>
      <w:r w:rsidR="00D95F6A" w:rsidRPr="002521F7">
        <w:t xml:space="preserve"> riferibile ad una tipologia di operazione </w:t>
      </w:r>
      <w:r w:rsidR="00F50B2A" w:rsidRPr="00DE30F9">
        <w:t>dichiarata ammissibile</w:t>
      </w:r>
      <w:r w:rsidR="008F3371">
        <w:t>,</w:t>
      </w:r>
      <w:r w:rsidR="00D95F6A" w:rsidRPr="002521F7">
        <w:t xml:space="preserve"> rispett</w:t>
      </w:r>
      <w:r w:rsidR="00E40D30" w:rsidRPr="002521F7">
        <w:t>i</w:t>
      </w:r>
      <w:r w:rsidR="00D95F6A" w:rsidRPr="002521F7">
        <w:t xml:space="preserve"> i limiti e le condizioni di </w:t>
      </w:r>
      <w:r w:rsidR="00D95F6A" w:rsidRPr="002521F7">
        <w:lastRenderedPageBreak/>
        <w:t xml:space="preserve">ammissibilità stabiliti dalla normativa </w:t>
      </w:r>
      <w:r w:rsidR="00887C5B" w:rsidRPr="002521F7">
        <w:t>di riferimento</w:t>
      </w:r>
      <w:r w:rsidR="006E0AAB">
        <w:t xml:space="preserve"> e </w:t>
      </w:r>
      <w:r w:rsidR="008F3371">
        <w:t xml:space="preserve">nei relativi </w:t>
      </w:r>
      <w:r w:rsidR="006E0AAB">
        <w:t>documenti di programmazione e attuazione</w:t>
      </w:r>
      <w:r w:rsidR="008B2A1D">
        <w:t xml:space="preserve"> e sia stata ricompresa tra i costi ammissibili della rispettiva misura, sottomisura o operazione del PSR.</w:t>
      </w:r>
    </w:p>
    <w:p w:rsidR="002A63C3" w:rsidRDefault="002A63C3" w:rsidP="00273BE4">
      <w:pPr>
        <w:spacing w:before="120"/>
        <w:ind w:right="126"/>
        <w:jc w:val="both"/>
        <w:rPr>
          <w:snapToGrid w:val="0"/>
        </w:rPr>
      </w:pPr>
    </w:p>
    <w:p w:rsidR="006019E6" w:rsidRDefault="006019E6" w:rsidP="00273BE4">
      <w:pPr>
        <w:spacing w:before="120"/>
        <w:ind w:right="126"/>
        <w:jc w:val="both"/>
        <w:rPr>
          <w:snapToGrid w:val="0"/>
        </w:rPr>
      </w:pPr>
    </w:p>
    <w:p w:rsidR="00285550" w:rsidRDefault="003532E2" w:rsidP="00273BE4">
      <w:pPr>
        <w:pStyle w:val="Titolo2"/>
        <w:tabs>
          <w:tab w:val="left" w:pos="720"/>
        </w:tabs>
        <w:ind w:left="720" w:right="126" w:hanging="720"/>
        <w:rPr>
          <w:snapToGrid w:val="0"/>
        </w:rPr>
      </w:pPr>
      <w:bookmarkStart w:id="5" w:name="_Toc432090698"/>
      <w:r>
        <w:rPr>
          <w:snapToGrid w:val="0"/>
        </w:rPr>
        <w:t>2</w:t>
      </w:r>
      <w:r w:rsidR="000E76B7" w:rsidRPr="00A22B8F">
        <w:rPr>
          <w:snapToGrid w:val="0"/>
        </w:rPr>
        <w:t xml:space="preserve">.1 </w:t>
      </w:r>
      <w:r w:rsidR="000C4F6F" w:rsidRPr="00A22B8F">
        <w:rPr>
          <w:snapToGrid w:val="0"/>
        </w:rPr>
        <w:tab/>
      </w:r>
      <w:r w:rsidR="009403FA">
        <w:rPr>
          <w:snapToGrid w:val="0"/>
        </w:rPr>
        <w:t>Periodo di eleggibilità della spesa</w:t>
      </w:r>
      <w:bookmarkEnd w:id="5"/>
    </w:p>
    <w:p w:rsidR="00A23D03" w:rsidRPr="001542BE" w:rsidRDefault="00BC29E8" w:rsidP="00273BE4">
      <w:pPr>
        <w:spacing w:before="120"/>
        <w:ind w:right="126"/>
        <w:jc w:val="both"/>
        <w:rPr>
          <w:i/>
          <w:snapToGrid w:val="0"/>
        </w:rPr>
      </w:pPr>
      <w:r>
        <w:rPr>
          <w:snapToGrid w:val="0"/>
        </w:rPr>
        <w:t>In linea generale, n</w:t>
      </w:r>
      <w:r w:rsidR="00A63833">
        <w:rPr>
          <w:snapToGrid w:val="0"/>
        </w:rPr>
        <w:t xml:space="preserve">ell’ambito della </w:t>
      </w:r>
      <w:r w:rsidR="00F40B7D">
        <w:rPr>
          <w:snapToGrid w:val="0"/>
        </w:rPr>
        <w:t>programmazione dello sviluppo rurale, s</w:t>
      </w:r>
      <w:r w:rsidR="000E76B7" w:rsidRPr="00A22B8F">
        <w:rPr>
          <w:snapToGrid w:val="0"/>
        </w:rPr>
        <w:t xml:space="preserve">econdo quanto disposto dall’art. </w:t>
      </w:r>
      <w:r w:rsidR="00492DD7">
        <w:rPr>
          <w:snapToGrid w:val="0"/>
        </w:rPr>
        <w:t>65</w:t>
      </w:r>
      <w:r w:rsidR="000E76B7" w:rsidRPr="00A22B8F">
        <w:rPr>
          <w:snapToGrid w:val="0"/>
        </w:rPr>
        <w:t xml:space="preserve">, comma </w:t>
      </w:r>
      <w:r w:rsidR="00492DD7">
        <w:rPr>
          <w:snapToGrid w:val="0"/>
        </w:rPr>
        <w:t>2</w:t>
      </w:r>
      <w:r w:rsidR="000E76B7" w:rsidRPr="00A22B8F">
        <w:rPr>
          <w:snapToGrid w:val="0"/>
        </w:rPr>
        <w:t xml:space="preserve">, del Reg. </w:t>
      </w:r>
      <w:r w:rsidR="0092783E">
        <w:rPr>
          <w:snapToGrid w:val="0"/>
        </w:rPr>
        <w:t>(</w:t>
      </w:r>
      <w:r w:rsidR="00171C5D">
        <w:rPr>
          <w:snapToGrid w:val="0"/>
        </w:rPr>
        <w:t>U</w:t>
      </w:r>
      <w:r w:rsidR="00171C5D" w:rsidRPr="00A22B8F">
        <w:rPr>
          <w:snapToGrid w:val="0"/>
        </w:rPr>
        <w:t>E</w:t>
      </w:r>
      <w:r w:rsidR="0092783E">
        <w:rPr>
          <w:snapToGrid w:val="0"/>
        </w:rPr>
        <w:t>)</w:t>
      </w:r>
      <w:r w:rsidR="000E76B7" w:rsidRPr="00A22B8F">
        <w:rPr>
          <w:snapToGrid w:val="0"/>
        </w:rPr>
        <w:t xml:space="preserve"> n. </w:t>
      </w:r>
      <w:r w:rsidR="00492DD7">
        <w:rPr>
          <w:snapToGrid w:val="0"/>
        </w:rPr>
        <w:t>130</w:t>
      </w:r>
      <w:r w:rsidR="00F302B6">
        <w:rPr>
          <w:snapToGrid w:val="0"/>
        </w:rPr>
        <w:t>3</w:t>
      </w:r>
      <w:r w:rsidR="000E76B7" w:rsidRPr="00A22B8F">
        <w:rPr>
          <w:snapToGrid w:val="0"/>
        </w:rPr>
        <w:t>/</w:t>
      </w:r>
      <w:r w:rsidR="00171C5D">
        <w:rPr>
          <w:snapToGrid w:val="0"/>
        </w:rPr>
        <w:t>20</w:t>
      </w:r>
      <w:r w:rsidR="00492DD7">
        <w:rPr>
          <w:snapToGrid w:val="0"/>
        </w:rPr>
        <w:t>13</w:t>
      </w:r>
      <w:r w:rsidR="000E76B7" w:rsidRPr="00A22B8F">
        <w:rPr>
          <w:snapToGrid w:val="0"/>
        </w:rPr>
        <w:t xml:space="preserve">, </w:t>
      </w:r>
      <w:r w:rsidR="001A2FA7">
        <w:rPr>
          <w:snapToGrid w:val="0"/>
        </w:rPr>
        <w:t>“</w:t>
      </w:r>
      <w:r w:rsidR="00620751">
        <w:rPr>
          <w:i/>
          <w:snapToGrid w:val="0"/>
        </w:rPr>
        <w:t>l</w:t>
      </w:r>
      <w:r w:rsidR="00F302B6" w:rsidRPr="00F302B6">
        <w:rPr>
          <w:i/>
          <w:snapToGrid w:val="0"/>
        </w:rPr>
        <w:t xml:space="preserve">e spese sono ammissibili a una partecipazione dei fondi SIE se sono state sostenute da un beneficiario e pagate tra la data di presentazione del programma alla Commissione o il </w:t>
      </w:r>
      <w:r w:rsidR="00620751">
        <w:rPr>
          <w:i/>
          <w:snapToGrid w:val="0"/>
        </w:rPr>
        <w:t xml:space="preserve">1° </w:t>
      </w:r>
      <w:r w:rsidR="00F302B6" w:rsidRPr="00F302B6">
        <w:rPr>
          <w:i/>
          <w:snapToGrid w:val="0"/>
        </w:rPr>
        <w:t>gennaio 2014, se anteriore, e il 31 dicembre 2023. Inoltre le spese sono ammissibili per una partecipazione del FEASR solo se l'aiuto in questione è di fatto pagato dall'organismo pagatore tra il 1</w:t>
      </w:r>
      <w:r w:rsidR="005B1763">
        <w:rPr>
          <w:i/>
          <w:snapToGrid w:val="0"/>
        </w:rPr>
        <w:t>°</w:t>
      </w:r>
      <w:r w:rsidR="00F302B6" w:rsidRPr="00F302B6">
        <w:rPr>
          <w:i/>
          <w:snapToGrid w:val="0"/>
        </w:rPr>
        <w:t xml:space="preserve"> gennaio 2014 e il 31 dicembre 202</w:t>
      </w:r>
      <w:r w:rsidR="005B1763">
        <w:rPr>
          <w:i/>
          <w:snapToGrid w:val="0"/>
        </w:rPr>
        <w:t>3</w:t>
      </w:r>
      <w:r w:rsidR="001A2FA7">
        <w:rPr>
          <w:i/>
          <w:snapToGrid w:val="0"/>
        </w:rPr>
        <w:t>”</w:t>
      </w:r>
      <w:r w:rsidR="00F302B6" w:rsidRPr="00F302B6">
        <w:rPr>
          <w:i/>
          <w:snapToGrid w:val="0"/>
        </w:rPr>
        <w:t>.</w:t>
      </w:r>
      <w:r w:rsidR="00A22B8F">
        <w:rPr>
          <w:i/>
          <w:snapToGrid w:val="0"/>
        </w:rPr>
        <w:t xml:space="preserve"> </w:t>
      </w:r>
      <w:r w:rsidR="003F310E">
        <w:rPr>
          <w:rStyle w:val="Rimandonotaapidipagina"/>
          <w:i/>
          <w:snapToGrid w:val="0"/>
        </w:rPr>
        <w:footnoteReference w:id="2"/>
      </w:r>
    </w:p>
    <w:p w:rsidR="000C5165" w:rsidRDefault="00514FA4" w:rsidP="00273BE4">
      <w:pPr>
        <w:spacing w:before="120"/>
        <w:ind w:right="126"/>
        <w:jc w:val="both"/>
        <w:rPr>
          <w:bCs/>
          <w:snapToGrid w:val="0"/>
        </w:rPr>
      </w:pPr>
      <w:r>
        <w:rPr>
          <w:bCs/>
          <w:snapToGrid w:val="0"/>
        </w:rPr>
        <w:t xml:space="preserve">In base all’art. 65 Reg. (UE) n. 1303/2013, comma </w:t>
      </w:r>
      <w:r w:rsidRPr="00A01666">
        <w:rPr>
          <w:bCs/>
          <w:snapToGrid w:val="0"/>
        </w:rPr>
        <w:t>6</w:t>
      </w:r>
      <w:r>
        <w:rPr>
          <w:bCs/>
          <w:snapToGrid w:val="0"/>
        </w:rPr>
        <w:t>, n</w:t>
      </w:r>
      <w:r w:rsidRPr="00075A35">
        <w:rPr>
          <w:bCs/>
          <w:snapToGrid w:val="0"/>
        </w:rPr>
        <w:t>on sono selezionati per il sostegno de</w:t>
      </w:r>
      <w:r>
        <w:rPr>
          <w:bCs/>
          <w:snapToGrid w:val="0"/>
        </w:rPr>
        <w:t>l FEASR</w:t>
      </w:r>
      <w:r w:rsidRPr="00075A35">
        <w:rPr>
          <w:bCs/>
          <w:snapToGrid w:val="0"/>
        </w:rPr>
        <w:t xml:space="preserve"> le operazioni portate materialmente a termine o completamente attuate prima che la domanda di </w:t>
      </w:r>
      <w:r>
        <w:rPr>
          <w:bCs/>
          <w:snapToGrid w:val="0"/>
        </w:rPr>
        <w:t>sostegno</w:t>
      </w:r>
      <w:r w:rsidRPr="00075A35">
        <w:rPr>
          <w:bCs/>
          <w:snapToGrid w:val="0"/>
        </w:rPr>
        <w:t xml:space="preserve"> nell'ambito del programma sia presentata dal beneficiario all'autorità di gestione, a prescindere dal fatto che tutti i relativi pagamenti siano stati effettuati dal beneficiario.</w:t>
      </w:r>
      <w:r w:rsidR="000C5165">
        <w:rPr>
          <w:bCs/>
          <w:snapToGrid w:val="0"/>
        </w:rPr>
        <w:t xml:space="preserve"> </w:t>
      </w:r>
    </w:p>
    <w:p w:rsidR="006019E6" w:rsidRDefault="00BC29E8" w:rsidP="000C5165">
      <w:pPr>
        <w:spacing w:before="120"/>
        <w:ind w:right="126"/>
        <w:jc w:val="both"/>
        <w:rPr>
          <w:snapToGrid w:val="0"/>
        </w:rPr>
      </w:pPr>
      <w:r w:rsidRPr="001542BE">
        <w:rPr>
          <w:snapToGrid w:val="0"/>
        </w:rPr>
        <w:t>In caso di modifica del Programma</w:t>
      </w:r>
      <w:r w:rsidR="00171C5D">
        <w:rPr>
          <w:snapToGrid w:val="0"/>
        </w:rPr>
        <w:t xml:space="preserve"> </w:t>
      </w:r>
      <w:r w:rsidRPr="004F5CC7">
        <w:rPr>
          <w:snapToGrid w:val="0"/>
        </w:rPr>
        <w:t>l</w:t>
      </w:r>
      <w:r w:rsidR="00D84570" w:rsidRPr="004F5CC7">
        <w:rPr>
          <w:snapToGrid w:val="0"/>
        </w:rPr>
        <w:t>a spesa è ammissibile solo a decorrere dalla data di presentazione della richiesta di mo</w:t>
      </w:r>
      <w:r w:rsidR="004F5CC7" w:rsidRPr="004F5CC7">
        <w:rPr>
          <w:snapToGrid w:val="0"/>
        </w:rPr>
        <w:t>difica alla Commissione</w:t>
      </w:r>
      <w:r w:rsidR="00620751">
        <w:rPr>
          <w:snapToGrid w:val="0"/>
        </w:rPr>
        <w:t xml:space="preserve"> (a</w:t>
      </w:r>
      <w:r w:rsidR="00620751" w:rsidRPr="004F5CC7">
        <w:rPr>
          <w:snapToGrid w:val="0"/>
        </w:rPr>
        <w:t>rt. 65.9 Reg.</w:t>
      </w:r>
      <w:r w:rsidR="00620751">
        <w:rPr>
          <w:snapToGrid w:val="0"/>
        </w:rPr>
        <w:t xml:space="preserve"> (UE) n. </w:t>
      </w:r>
      <w:r w:rsidR="00620751" w:rsidRPr="004F5CC7">
        <w:rPr>
          <w:snapToGrid w:val="0"/>
        </w:rPr>
        <w:t>1305</w:t>
      </w:r>
      <w:r w:rsidR="00620751">
        <w:rPr>
          <w:snapToGrid w:val="0"/>
        </w:rPr>
        <w:t>/2013</w:t>
      </w:r>
      <w:r w:rsidR="00620751" w:rsidRPr="004F5CC7">
        <w:rPr>
          <w:snapToGrid w:val="0"/>
        </w:rPr>
        <w:t>)</w:t>
      </w:r>
      <w:r w:rsidR="00B66A29">
        <w:rPr>
          <w:snapToGrid w:val="0"/>
        </w:rPr>
        <w:t>.</w:t>
      </w:r>
    </w:p>
    <w:p w:rsidR="00F302B6" w:rsidRDefault="00593EB9" w:rsidP="004F5CC7">
      <w:pPr>
        <w:spacing w:before="120"/>
        <w:ind w:right="126"/>
        <w:jc w:val="both"/>
        <w:rPr>
          <w:bCs/>
          <w:snapToGrid w:val="0"/>
          <w:highlight w:val="yellow"/>
        </w:rPr>
      </w:pPr>
      <w:r>
        <w:rPr>
          <w:bCs/>
          <w:snapToGrid w:val="0"/>
        </w:rPr>
        <w:t>S</w:t>
      </w:r>
      <w:r w:rsidR="00514FA4">
        <w:rPr>
          <w:bCs/>
          <w:snapToGrid w:val="0"/>
        </w:rPr>
        <w:t xml:space="preserve">ono quindi </w:t>
      </w:r>
      <w:r w:rsidR="004A4444">
        <w:rPr>
          <w:bCs/>
          <w:snapToGrid w:val="0"/>
        </w:rPr>
        <w:t>considerate</w:t>
      </w:r>
      <w:r w:rsidR="004A4444" w:rsidRPr="00E412B4">
        <w:rPr>
          <w:bCs/>
          <w:snapToGrid w:val="0"/>
        </w:rPr>
        <w:t xml:space="preserve"> </w:t>
      </w:r>
      <w:r w:rsidR="007261EA" w:rsidRPr="00E412B4">
        <w:rPr>
          <w:bCs/>
          <w:snapToGrid w:val="0"/>
        </w:rPr>
        <w:t>ammissibili</w:t>
      </w:r>
      <w:r w:rsidR="00514FA4">
        <w:rPr>
          <w:bCs/>
          <w:snapToGrid w:val="0"/>
        </w:rPr>
        <w:t xml:space="preserve"> (vale a dire selezionabili per il contributo comunitario)</w:t>
      </w:r>
      <w:r w:rsidR="001542BE">
        <w:rPr>
          <w:bCs/>
          <w:snapToGrid w:val="0"/>
        </w:rPr>
        <w:t xml:space="preserve"> </w:t>
      </w:r>
      <w:r w:rsidR="00514FA4">
        <w:rPr>
          <w:bCs/>
          <w:snapToGrid w:val="0"/>
        </w:rPr>
        <w:t>le operazioni ancora non portate materialmente a termine o completamente attuate</w:t>
      </w:r>
      <w:r w:rsidR="001542BE">
        <w:rPr>
          <w:bCs/>
          <w:snapToGrid w:val="0"/>
        </w:rPr>
        <w:t>,</w:t>
      </w:r>
      <w:r w:rsidR="00514FA4">
        <w:rPr>
          <w:bCs/>
          <w:snapToGrid w:val="0"/>
        </w:rPr>
        <w:t xml:space="preserve"> </w:t>
      </w:r>
      <w:r w:rsidR="004A4444">
        <w:rPr>
          <w:bCs/>
          <w:snapToGrid w:val="0"/>
        </w:rPr>
        <w:t xml:space="preserve">e le </w:t>
      </w:r>
      <w:r w:rsidR="007261EA" w:rsidRPr="00E412B4">
        <w:rPr>
          <w:bCs/>
          <w:snapToGrid w:val="0"/>
        </w:rPr>
        <w:t xml:space="preserve">spese sostenute dal beneficiario </w:t>
      </w:r>
      <w:r w:rsidR="004A4444">
        <w:rPr>
          <w:bCs/>
          <w:snapToGrid w:val="0"/>
        </w:rPr>
        <w:t>successivamente alla</w:t>
      </w:r>
      <w:r w:rsidR="007261EA" w:rsidRPr="00E412B4">
        <w:rPr>
          <w:bCs/>
          <w:snapToGrid w:val="0"/>
        </w:rPr>
        <w:t xml:space="preserve"> presentazione della relativa domanda</w:t>
      </w:r>
      <w:r w:rsidR="00104EF4">
        <w:rPr>
          <w:bCs/>
          <w:snapToGrid w:val="0"/>
        </w:rPr>
        <w:t xml:space="preserve"> di </w:t>
      </w:r>
      <w:r w:rsidR="00E10CBD">
        <w:rPr>
          <w:bCs/>
          <w:snapToGrid w:val="0"/>
        </w:rPr>
        <w:t>sostegno</w:t>
      </w:r>
      <w:r w:rsidR="005D0CD3" w:rsidRPr="00F302B6">
        <w:rPr>
          <w:bCs/>
          <w:snapToGrid w:val="0"/>
        </w:rPr>
        <w:t>, fatte salve</w:t>
      </w:r>
      <w:r w:rsidR="00F302B6" w:rsidRPr="00F302B6">
        <w:rPr>
          <w:bCs/>
          <w:snapToGrid w:val="0"/>
        </w:rPr>
        <w:t>:</w:t>
      </w:r>
    </w:p>
    <w:p w:rsidR="004F5CC7" w:rsidRDefault="005D0CD3" w:rsidP="00C85F99">
      <w:pPr>
        <w:numPr>
          <w:ilvl w:val="0"/>
          <w:numId w:val="4"/>
        </w:numPr>
        <w:spacing w:before="120"/>
        <w:ind w:right="126"/>
        <w:jc w:val="both"/>
        <w:rPr>
          <w:bCs/>
          <w:snapToGrid w:val="0"/>
        </w:rPr>
      </w:pPr>
      <w:r w:rsidRPr="001A2FA7">
        <w:rPr>
          <w:bCs/>
          <w:snapToGrid w:val="0"/>
        </w:rPr>
        <w:t xml:space="preserve">le spese </w:t>
      </w:r>
      <w:r w:rsidR="00F54F00">
        <w:rPr>
          <w:bCs/>
          <w:snapToGrid w:val="0"/>
        </w:rPr>
        <w:t xml:space="preserve">generali </w:t>
      </w:r>
      <w:r w:rsidR="00AD2427">
        <w:rPr>
          <w:bCs/>
          <w:snapToGrid w:val="0"/>
        </w:rPr>
        <w:t>di cui all’art.</w:t>
      </w:r>
      <w:r w:rsidR="00E10CBD">
        <w:rPr>
          <w:bCs/>
          <w:snapToGrid w:val="0"/>
        </w:rPr>
        <w:t xml:space="preserve"> 45.2 </w:t>
      </w:r>
      <w:r w:rsidR="00876A15">
        <w:rPr>
          <w:bCs/>
          <w:snapToGrid w:val="0"/>
        </w:rPr>
        <w:t xml:space="preserve">a) b) </w:t>
      </w:r>
      <w:r w:rsidR="00E10CBD">
        <w:rPr>
          <w:bCs/>
          <w:snapToGrid w:val="0"/>
        </w:rPr>
        <w:t xml:space="preserve">c) del Reg. </w:t>
      </w:r>
      <w:r w:rsidR="00AD2427">
        <w:rPr>
          <w:bCs/>
          <w:snapToGrid w:val="0"/>
        </w:rPr>
        <w:t xml:space="preserve">(UE) n. </w:t>
      </w:r>
      <w:r w:rsidR="00E10CBD">
        <w:rPr>
          <w:bCs/>
          <w:snapToGrid w:val="0"/>
        </w:rPr>
        <w:t>1305/</w:t>
      </w:r>
      <w:r w:rsidR="00AD2427">
        <w:rPr>
          <w:bCs/>
          <w:snapToGrid w:val="0"/>
        </w:rPr>
        <w:t>20</w:t>
      </w:r>
      <w:r w:rsidR="00F54F00">
        <w:rPr>
          <w:bCs/>
          <w:snapToGrid w:val="0"/>
        </w:rPr>
        <w:t>13,</w:t>
      </w:r>
      <w:r w:rsidR="00E10CBD">
        <w:rPr>
          <w:bCs/>
          <w:snapToGrid w:val="0"/>
        </w:rPr>
        <w:t xml:space="preserve"> effettuate </w:t>
      </w:r>
      <w:r w:rsidR="00D23054">
        <w:rPr>
          <w:bCs/>
          <w:snapToGrid w:val="0"/>
        </w:rPr>
        <w:t xml:space="preserve">nei 12 mesi </w:t>
      </w:r>
      <w:r w:rsidR="00E10CBD">
        <w:rPr>
          <w:bCs/>
          <w:snapToGrid w:val="0"/>
        </w:rPr>
        <w:t>prima della</w:t>
      </w:r>
      <w:r>
        <w:rPr>
          <w:bCs/>
          <w:snapToGrid w:val="0"/>
        </w:rPr>
        <w:t xml:space="preserve"> presentazione della domanda stessa</w:t>
      </w:r>
      <w:r w:rsidR="00876A15">
        <w:rPr>
          <w:bCs/>
          <w:snapToGrid w:val="0"/>
        </w:rPr>
        <w:t xml:space="preserve"> </w:t>
      </w:r>
      <w:r w:rsidR="00D23054">
        <w:rPr>
          <w:bCs/>
          <w:snapToGrid w:val="0"/>
        </w:rPr>
        <w:t xml:space="preserve">e </w:t>
      </w:r>
      <w:r w:rsidR="00876A15">
        <w:rPr>
          <w:bCs/>
          <w:snapToGrid w:val="0"/>
        </w:rPr>
        <w:t>connesse alla progettazione dell’intervento proposto nella domanda di sostegno</w:t>
      </w:r>
      <w:r w:rsidR="000949C3">
        <w:rPr>
          <w:bCs/>
          <w:snapToGrid w:val="0"/>
        </w:rPr>
        <w:t>, inclusi gli studi di fattibilità</w:t>
      </w:r>
      <w:r w:rsidR="00C85F99">
        <w:rPr>
          <w:bCs/>
          <w:snapToGrid w:val="0"/>
        </w:rPr>
        <w:t>;</w:t>
      </w:r>
    </w:p>
    <w:p w:rsidR="00C85F99" w:rsidRDefault="00F302B6" w:rsidP="00273BE4">
      <w:pPr>
        <w:numPr>
          <w:ilvl w:val="0"/>
          <w:numId w:val="4"/>
        </w:numPr>
        <w:spacing w:before="120"/>
        <w:ind w:right="126"/>
        <w:jc w:val="both"/>
        <w:rPr>
          <w:bCs/>
          <w:snapToGrid w:val="0"/>
        </w:rPr>
      </w:pPr>
      <w:r>
        <w:rPr>
          <w:bCs/>
          <w:snapToGrid w:val="0"/>
        </w:rPr>
        <w:t>le spese sostenute nell’ambito della sottomisura 19.1</w:t>
      </w:r>
      <w:r w:rsidR="00F54F00">
        <w:rPr>
          <w:bCs/>
          <w:snapToGrid w:val="0"/>
        </w:rPr>
        <w:t>,</w:t>
      </w:r>
      <w:r w:rsidR="00C85F99">
        <w:rPr>
          <w:bCs/>
          <w:snapToGrid w:val="0"/>
        </w:rPr>
        <w:t xml:space="preserve"> nonché le</w:t>
      </w:r>
      <w:r w:rsidR="00DD5F92" w:rsidRPr="00DD5F92">
        <w:rPr>
          <w:bCs/>
          <w:snapToGrid w:val="0"/>
        </w:rPr>
        <w:t xml:space="preserve"> spese di “preparazione delle attività di cooperazione del GAL” (art. 35, par. 1, lett. c) del Reg. 1303/2013) e del “supporto tecnico preparatorio” (art. 44, par. 1, lett. b)</w:t>
      </w:r>
      <w:r w:rsidR="00C85F99">
        <w:rPr>
          <w:bCs/>
          <w:snapToGrid w:val="0"/>
        </w:rPr>
        <w:t xml:space="preserve"> del Reg. (UE) n. 1305/2013)</w:t>
      </w:r>
      <w:r w:rsidR="00DD5F92" w:rsidRPr="00DD5F92">
        <w:rPr>
          <w:bCs/>
          <w:snapToGrid w:val="0"/>
        </w:rPr>
        <w:t xml:space="preserve"> p</w:t>
      </w:r>
      <w:r w:rsidR="00F54F00">
        <w:rPr>
          <w:bCs/>
          <w:snapToGrid w:val="0"/>
        </w:rPr>
        <w:t>reviste per le sottomisure</w:t>
      </w:r>
      <w:r w:rsidR="00DD5F92">
        <w:rPr>
          <w:bCs/>
          <w:snapToGrid w:val="0"/>
        </w:rPr>
        <w:t xml:space="preserve"> 19.3</w:t>
      </w:r>
      <w:r w:rsidR="00105D44">
        <w:rPr>
          <w:bCs/>
          <w:snapToGrid w:val="0"/>
        </w:rPr>
        <w:t xml:space="preserve"> </w:t>
      </w:r>
      <w:r w:rsidR="004F405A">
        <w:rPr>
          <w:bCs/>
          <w:snapToGrid w:val="0"/>
        </w:rPr>
        <w:t>e 19.4</w:t>
      </w:r>
      <w:r>
        <w:rPr>
          <w:bCs/>
          <w:snapToGrid w:val="0"/>
        </w:rPr>
        <w:t>;</w:t>
      </w:r>
    </w:p>
    <w:p w:rsidR="004F405A" w:rsidRPr="00F54F00" w:rsidRDefault="00F302B6" w:rsidP="00F54F00">
      <w:pPr>
        <w:numPr>
          <w:ilvl w:val="0"/>
          <w:numId w:val="4"/>
        </w:numPr>
        <w:spacing w:before="120"/>
        <w:ind w:right="126"/>
        <w:jc w:val="both"/>
        <w:rPr>
          <w:bCs/>
          <w:snapToGrid w:val="0"/>
        </w:rPr>
      </w:pPr>
      <w:r w:rsidRPr="00C85F99">
        <w:rPr>
          <w:bCs/>
          <w:snapToGrid w:val="0"/>
        </w:rPr>
        <w:t>le spese sosten</w:t>
      </w:r>
      <w:r w:rsidR="00C85F99">
        <w:rPr>
          <w:bCs/>
          <w:snapToGrid w:val="0"/>
        </w:rPr>
        <w:t>ute nell’ambito della misura 20;</w:t>
      </w:r>
    </w:p>
    <w:p w:rsidR="00F54F00" w:rsidRPr="004C19DB" w:rsidRDefault="00C505FA" w:rsidP="00C85F99">
      <w:pPr>
        <w:numPr>
          <w:ilvl w:val="0"/>
          <w:numId w:val="4"/>
        </w:numPr>
        <w:spacing w:before="120"/>
        <w:ind w:right="126"/>
        <w:jc w:val="both"/>
        <w:rPr>
          <w:bCs/>
          <w:snapToGrid w:val="0"/>
        </w:rPr>
      </w:pPr>
      <w:r w:rsidRPr="004C19DB">
        <w:rPr>
          <w:bCs/>
          <w:snapToGrid w:val="0"/>
        </w:rPr>
        <w:t xml:space="preserve">le spese sostenute </w:t>
      </w:r>
      <w:r w:rsidR="00581E8D" w:rsidRPr="004C19DB">
        <w:rPr>
          <w:bCs/>
          <w:snapToGrid w:val="0"/>
        </w:rPr>
        <w:t xml:space="preserve">nell’ambito della sottomisura 3.1 </w:t>
      </w:r>
      <w:r w:rsidRPr="004C19DB">
        <w:rPr>
          <w:bCs/>
          <w:snapToGrid w:val="0"/>
        </w:rPr>
        <w:t xml:space="preserve">per la partecipazione ad un sistema di qualità tra la data di emanazione del bando e la presentazione </w:t>
      </w:r>
      <w:r w:rsidR="00C85F99" w:rsidRPr="004C19DB">
        <w:rPr>
          <w:bCs/>
          <w:snapToGrid w:val="0"/>
        </w:rPr>
        <w:t>della domanda di sostegno, qual</w:t>
      </w:r>
      <w:r w:rsidRPr="004C19DB">
        <w:rPr>
          <w:bCs/>
          <w:snapToGrid w:val="0"/>
        </w:rPr>
        <w:t>ora tali spese siano propedeutiche alla domanda di sostegno</w:t>
      </w:r>
      <w:r w:rsidR="00F54F00" w:rsidRPr="004C19DB">
        <w:rPr>
          <w:bCs/>
          <w:snapToGrid w:val="0"/>
        </w:rPr>
        <w:t>;</w:t>
      </w:r>
    </w:p>
    <w:p w:rsidR="00F54F00" w:rsidRDefault="0088766B" w:rsidP="00F54F00">
      <w:pPr>
        <w:numPr>
          <w:ilvl w:val="0"/>
          <w:numId w:val="4"/>
        </w:numPr>
        <w:spacing w:before="120"/>
        <w:ind w:right="126"/>
        <w:jc w:val="both"/>
        <w:rPr>
          <w:bCs/>
          <w:snapToGrid w:val="0"/>
        </w:rPr>
      </w:pPr>
      <w:r>
        <w:rPr>
          <w:snapToGrid w:val="0"/>
        </w:rPr>
        <w:t>inoltre, i</w:t>
      </w:r>
      <w:r w:rsidR="00F54F00" w:rsidRPr="00F54F00">
        <w:rPr>
          <w:snapToGrid w:val="0"/>
        </w:rPr>
        <w:t xml:space="preserve">n base al paragrafo 1 dell’art. 60 comma 1 dello stesso regolamento, </w:t>
      </w:r>
      <w:r w:rsidR="00F54F00" w:rsidRPr="00F54F00">
        <w:rPr>
          <w:i/>
          <w:snapToGrid w:val="0"/>
        </w:rPr>
        <w:t>“ In deroga all'art. 65, paragrafo 9, del Reg. (UE) n. 1303/2013, in casi di emergenza dovuti a calamità naturali, i programmi di sviluppo rurale possono disporre che l'ammissibilità delle spese conseguenti a modifiche dei programmi possa decorrere dalla data in cui si è verificata la calamità naturale</w:t>
      </w:r>
      <w:r w:rsidR="00F54F00">
        <w:rPr>
          <w:i/>
          <w:snapToGrid w:val="0"/>
        </w:rPr>
        <w:t>”;</w:t>
      </w:r>
    </w:p>
    <w:p w:rsidR="00F54F00" w:rsidRPr="00F54F00" w:rsidRDefault="00F54F00" w:rsidP="00F54F00">
      <w:pPr>
        <w:spacing w:before="120"/>
        <w:ind w:right="126"/>
        <w:jc w:val="both"/>
        <w:rPr>
          <w:bCs/>
          <w:snapToGrid w:val="0"/>
        </w:rPr>
      </w:pPr>
      <w:r w:rsidRPr="00F54F00">
        <w:rPr>
          <w:bCs/>
          <w:snapToGrid w:val="0"/>
        </w:rPr>
        <w:t xml:space="preserve">Non si considera aiuto al funzionamento il sostegno concesso nell’ambito della misura 9 alle associazioni e organizzazioni di produttori riconosciute dal 1 gennaio 2014 per le attività rientranti nel piano aziendale che verrà presentato con la domanda di sostegno e comunque per le attività e </w:t>
      </w:r>
      <w:r w:rsidRPr="00F54F00">
        <w:rPr>
          <w:bCs/>
          <w:snapToGrid w:val="0"/>
        </w:rPr>
        <w:lastRenderedPageBreak/>
        <w:t>le spese rispettivamente realizzate e sostenute successivamente alla presentazione della domanda di sostegno</w:t>
      </w:r>
      <w:r w:rsidR="0088766B">
        <w:rPr>
          <w:bCs/>
          <w:snapToGrid w:val="0"/>
        </w:rPr>
        <w:t>.</w:t>
      </w:r>
    </w:p>
    <w:p w:rsidR="009667A7" w:rsidRPr="009667A7" w:rsidRDefault="009667A7" w:rsidP="009667A7">
      <w:pPr>
        <w:spacing w:before="120"/>
        <w:ind w:right="126"/>
        <w:jc w:val="both"/>
        <w:rPr>
          <w:snapToGrid w:val="0"/>
        </w:rPr>
      </w:pPr>
      <w:r w:rsidRPr="009667A7">
        <w:rPr>
          <w:snapToGrid w:val="0"/>
        </w:rPr>
        <w:t>Ai sensi dell’articolo 81, paragrafo 2, del Reg. n. 1305/2013, alle misure di sviluppo rurale e ai relativi finanziamenti nazionali integrativi non rientranti nel campo di applicazione dell’articolo 42 TFUE si applicano gli articoli 107, 108 e 109 TFUE.</w:t>
      </w:r>
    </w:p>
    <w:p w:rsidR="009667A7" w:rsidRPr="009667A7" w:rsidRDefault="009667A7" w:rsidP="009667A7">
      <w:pPr>
        <w:spacing w:before="120"/>
        <w:ind w:right="126"/>
        <w:jc w:val="both"/>
        <w:rPr>
          <w:snapToGrid w:val="0"/>
        </w:rPr>
      </w:pPr>
      <w:r w:rsidRPr="009667A7">
        <w:rPr>
          <w:snapToGrid w:val="0"/>
        </w:rPr>
        <w:t xml:space="preserve">Per questo motivo, per tali misure, si applicano le norme sull’effetto di incentivazione contenute nella pertinente normativa in materia di aiuti di Stato. </w:t>
      </w:r>
    </w:p>
    <w:p w:rsidR="009667A7" w:rsidRPr="009667A7" w:rsidRDefault="009667A7" w:rsidP="009667A7">
      <w:pPr>
        <w:spacing w:before="120"/>
        <w:ind w:right="126"/>
        <w:jc w:val="both"/>
        <w:rPr>
          <w:snapToGrid w:val="0"/>
        </w:rPr>
      </w:pPr>
      <w:r w:rsidRPr="009667A7">
        <w:rPr>
          <w:snapToGrid w:val="0"/>
        </w:rPr>
        <w:t xml:space="preserve">A tal fine, gli aiuti hanno un effetto di incentivazione se, </w:t>
      </w:r>
      <w:r w:rsidRPr="009667A7">
        <w:rPr>
          <w:b/>
          <w:snapToGrid w:val="0"/>
        </w:rPr>
        <w:t>prima dell’avvio dei lavori relativi al progetto o all’attività</w:t>
      </w:r>
      <w:r w:rsidRPr="009667A7">
        <w:rPr>
          <w:snapToGrid w:val="0"/>
        </w:rPr>
        <w:t>, il beneficiario, ha presentato domanda di aiuto alle autorità nazionali.</w:t>
      </w:r>
    </w:p>
    <w:p w:rsidR="009667A7" w:rsidRPr="009667A7" w:rsidRDefault="009667A7" w:rsidP="009667A7">
      <w:pPr>
        <w:spacing w:before="120"/>
        <w:ind w:right="126"/>
        <w:jc w:val="both"/>
        <w:rPr>
          <w:snapToGrid w:val="0"/>
        </w:rPr>
      </w:pPr>
      <w:r w:rsidRPr="009667A7">
        <w:rPr>
          <w:i/>
          <w:snapToGrid w:val="0"/>
        </w:rPr>
        <w:t>A contrario</w:t>
      </w:r>
      <w:r w:rsidRPr="009667A7">
        <w:rPr>
          <w:snapToGrid w:val="0"/>
        </w:rPr>
        <w:t>, gli aiuti sono privi di effetto di incentivazione se, nel momento in cui il beneficiario inoltra domanda, il lavoro relativo al progetto o all’attività ha già avuto inizio.</w:t>
      </w:r>
    </w:p>
    <w:p w:rsidR="009667A7" w:rsidRPr="009667A7" w:rsidRDefault="009667A7" w:rsidP="009667A7">
      <w:pPr>
        <w:spacing w:before="120"/>
        <w:ind w:right="126"/>
        <w:jc w:val="both"/>
        <w:rPr>
          <w:snapToGrid w:val="0"/>
        </w:rPr>
      </w:pPr>
      <w:r w:rsidRPr="009667A7">
        <w:rPr>
          <w:snapToGrid w:val="0"/>
        </w:rPr>
        <w:t xml:space="preserve">La domanda di aiuto deve contenere come minimo il nome del richiedente e le dimensioni dell’impresa, una descrizione del progetto o dell’attività, compresa la sua ubicazione e le date di inizio e di fine, l’importo e la tipologia (sovvenzione, prestito, garanzia, ecc) dell’aiuto necessario per realizzarlo e i costi ammissibili. </w:t>
      </w:r>
    </w:p>
    <w:p w:rsidR="009667A7" w:rsidRPr="009667A7" w:rsidRDefault="009667A7" w:rsidP="009667A7">
      <w:pPr>
        <w:spacing w:before="120"/>
        <w:ind w:right="126"/>
        <w:jc w:val="both"/>
        <w:rPr>
          <w:snapToGrid w:val="0"/>
        </w:rPr>
      </w:pPr>
      <w:r w:rsidRPr="009667A7">
        <w:rPr>
          <w:snapToGrid w:val="0"/>
        </w:rPr>
        <w:t>Le domande presentate dalle grandi imprese devono contenere inoltre una descrizione della situazione in assenza di aiuti e lo scenario controfattuale o progetto o attività alternativi, con i relativi documenti giustificativi.</w:t>
      </w:r>
    </w:p>
    <w:p w:rsidR="009667A7" w:rsidRPr="009667A7" w:rsidRDefault="009667A7" w:rsidP="009667A7">
      <w:pPr>
        <w:spacing w:before="120"/>
        <w:ind w:right="126"/>
        <w:jc w:val="both"/>
        <w:rPr>
          <w:snapToGrid w:val="0"/>
        </w:rPr>
      </w:pPr>
      <w:r w:rsidRPr="009667A7">
        <w:rPr>
          <w:snapToGrid w:val="0"/>
        </w:rPr>
        <w:t>L’effetto di incentivazione non è richiesto o si presume per alcune categorie, tra le quali gli aiuti per il ripristino delle foreste danneggiate da incendi, calamità naturali, avversità atmosferiche, organismi nocivi ai vegetali, epizoozie, eventi catastrofici e climatici, gli aiuti per la stesura e l’aggiornamento di piani di sviluppo dei comuni e dei villaggi situati nelle zone rurali e dei servizi comunali di base, nonché di piani di tutela e di gestione dei siti Natura 2000 e di altre zone ad alto valore naturalistico, gli aiuti destinati a ovviare ai danni forestali causati da animali soggetti a disposizioni normative.</w:t>
      </w:r>
    </w:p>
    <w:p w:rsidR="00A01666" w:rsidRPr="00945FE0" w:rsidRDefault="00A01666" w:rsidP="00273BE4">
      <w:pPr>
        <w:spacing w:before="120"/>
        <w:ind w:right="126"/>
        <w:jc w:val="both"/>
        <w:rPr>
          <w:snapToGrid w:val="0"/>
        </w:rPr>
      </w:pPr>
    </w:p>
    <w:p w:rsidR="00FD246C" w:rsidRDefault="003532E2" w:rsidP="00273BE4">
      <w:pPr>
        <w:pStyle w:val="Titolo2"/>
        <w:tabs>
          <w:tab w:val="left" w:pos="720"/>
        </w:tabs>
        <w:ind w:left="720" w:right="126" w:hanging="720"/>
        <w:rPr>
          <w:snapToGrid w:val="0"/>
        </w:rPr>
      </w:pPr>
      <w:bookmarkStart w:id="6" w:name="_Toc432090699"/>
      <w:r>
        <w:rPr>
          <w:snapToGrid w:val="0"/>
        </w:rPr>
        <w:t>2.</w:t>
      </w:r>
      <w:r w:rsidR="000E76B7" w:rsidRPr="000E76B7">
        <w:rPr>
          <w:snapToGrid w:val="0"/>
        </w:rPr>
        <w:t>2</w:t>
      </w:r>
      <w:r w:rsidR="000E76B7" w:rsidRPr="00361E2D">
        <w:rPr>
          <w:snapToGrid w:val="0"/>
        </w:rPr>
        <w:t xml:space="preserve"> </w:t>
      </w:r>
      <w:r w:rsidR="00361E2D" w:rsidRPr="00361E2D">
        <w:rPr>
          <w:snapToGrid w:val="0"/>
        </w:rPr>
        <w:tab/>
      </w:r>
      <w:r w:rsidR="000E76B7">
        <w:rPr>
          <w:snapToGrid w:val="0"/>
        </w:rPr>
        <w:t>Imputabilità</w:t>
      </w:r>
      <w:r w:rsidR="00024057">
        <w:rPr>
          <w:snapToGrid w:val="0"/>
        </w:rPr>
        <w:t>,</w:t>
      </w:r>
      <w:r w:rsidR="000E76B7">
        <w:rPr>
          <w:snapToGrid w:val="0"/>
        </w:rPr>
        <w:t xml:space="preserve"> </w:t>
      </w:r>
      <w:r w:rsidR="006E4201">
        <w:rPr>
          <w:snapToGrid w:val="0"/>
        </w:rPr>
        <w:t>pertinen</w:t>
      </w:r>
      <w:r w:rsidR="000E76B7">
        <w:rPr>
          <w:snapToGrid w:val="0"/>
        </w:rPr>
        <w:t>za</w:t>
      </w:r>
      <w:r w:rsidR="0010209C">
        <w:rPr>
          <w:snapToGrid w:val="0"/>
        </w:rPr>
        <w:t>,</w:t>
      </w:r>
      <w:r w:rsidR="00024057">
        <w:rPr>
          <w:snapToGrid w:val="0"/>
        </w:rPr>
        <w:t xml:space="preserve"> congruità</w:t>
      </w:r>
      <w:r w:rsidR="0010209C">
        <w:rPr>
          <w:snapToGrid w:val="0"/>
        </w:rPr>
        <w:t xml:space="preserve"> e </w:t>
      </w:r>
      <w:r w:rsidR="008C211E">
        <w:rPr>
          <w:snapToGrid w:val="0"/>
        </w:rPr>
        <w:t>ragionevolezza</w:t>
      </w:r>
      <w:bookmarkEnd w:id="6"/>
    </w:p>
    <w:p w:rsidR="006E4201" w:rsidRDefault="004D5CEA" w:rsidP="00447EDF">
      <w:pPr>
        <w:spacing w:before="120"/>
        <w:ind w:right="126"/>
        <w:jc w:val="both"/>
        <w:rPr>
          <w:snapToGrid w:val="0"/>
        </w:rPr>
      </w:pPr>
      <w:r w:rsidDel="004D5CEA">
        <w:rPr>
          <w:snapToGrid w:val="0"/>
        </w:rPr>
        <w:t xml:space="preserve"> </w:t>
      </w:r>
      <w:r w:rsidR="006B1DE3">
        <w:rPr>
          <w:snapToGrid w:val="0"/>
        </w:rPr>
        <w:t>“</w:t>
      </w:r>
      <w:r w:rsidR="00793106" w:rsidRPr="00F77105">
        <w:rPr>
          <w:i/>
          <w:snapToGrid w:val="0"/>
        </w:rPr>
        <w:t>Sono ammissibili a contributo del FEASR soltanto le spese sostenute per operazioni decise dall’autorità di gestione del relativo programma o sotto la sua responsabilità, secondo i criteri di selezione</w:t>
      </w:r>
      <w:r w:rsidR="00D53E3C">
        <w:rPr>
          <w:i/>
          <w:snapToGrid w:val="0"/>
        </w:rPr>
        <w:t xml:space="preserve"> (laddove applicabili)</w:t>
      </w:r>
      <w:r w:rsidR="00793106" w:rsidRPr="00F77105">
        <w:rPr>
          <w:i/>
          <w:snapToGrid w:val="0"/>
        </w:rPr>
        <w:t xml:space="preserve"> stabiliti dall’organismo competente</w:t>
      </w:r>
      <w:r w:rsidR="00793106">
        <w:rPr>
          <w:snapToGrid w:val="0"/>
        </w:rPr>
        <w:t xml:space="preserve">.” (art. </w:t>
      </w:r>
      <w:r w:rsidR="00A01666">
        <w:rPr>
          <w:snapToGrid w:val="0"/>
        </w:rPr>
        <w:t>60</w:t>
      </w:r>
      <w:r w:rsidR="00793106">
        <w:rPr>
          <w:snapToGrid w:val="0"/>
        </w:rPr>
        <w:t xml:space="preserve">, comma </w:t>
      </w:r>
      <w:r w:rsidR="00A01666">
        <w:rPr>
          <w:snapToGrid w:val="0"/>
        </w:rPr>
        <w:t>2.1</w:t>
      </w:r>
      <w:r w:rsidR="00793106">
        <w:rPr>
          <w:snapToGrid w:val="0"/>
        </w:rPr>
        <w:t>, del Reg. (</w:t>
      </w:r>
      <w:r>
        <w:rPr>
          <w:snapToGrid w:val="0"/>
        </w:rPr>
        <w:t>U</w:t>
      </w:r>
      <w:r w:rsidR="00793106">
        <w:rPr>
          <w:snapToGrid w:val="0"/>
        </w:rPr>
        <w:t>E) n. 1</w:t>
      </w:r>
      <w:r w:rsidR="00A01666">
        <w:rPr>
          <w:snapToGrid w:val="0"/>
        </w:rPr>
        <w:t>305/13</w:t>
      </w:r>
      <w:r w:rsidR="00793106">
        <w:rPr>
          <w:snapToGrid w:val="0"/>
        </w:rPr>
        <w:t>).</w:t>
      </w:r>
    </w:p>
    <w:p w:rsidR="00D53E3C" w:rsidRDefault="00793106" w:rsidP="00447EDF">
      <w:pPr>
        <w:spacing w:before="120"/>
        <w:ind w:right="126"/>
        <w:jc w:val="both"/>
        <w:rPr>
          <w:snapToGrid w:val="0"/>
        </w:rPr>
      </w:pPr>
      <w:r>
        <w:rPr>
          <w:snapToGrid w:val="0"/>
        </w:rPr>
        <w:t xml:space="preserve">Da tale disposizione si desume che le spese, per risultare ammissibili, devono essere connesse all’attuazione di </w:t>
      </w:r>
      <w:r w:rsidRPr="003E6FC5">
        <w:rPr>
          <w:snapToGrid w:val="0"/>
        </w:rPr>
        <w:t>operazioni</w:t>
      </w:r>
      <w:r w:rsidR="000E76B7">
        <w:rPr>
          <w:snapToGrid w:val="0"/>
        </w:rPr>
        <w:t xml:space="preserve"> che </w:t>
      </w:r>
      <w:r w:rsidR="00945FE0">
        <w:rPr>
          <w:snapToGrid w:val="0"/>
        </w:rPr>
        <w:t>sono direttamente riconducibili</w:t>
      </w:r>
      <w:r>
        <w:rPr>
          <w:snapToGrid w:val="0"/>
        </w:rPr>
        <w:t xml:space="preserve"> alle </w:t>
      </w:r>
      <w:r w:rsidR="00030D9B">
        <w:rPr>
          <w:snapToGrid w:val="0"/>
        </w:rPr>
        <w:t>“attività ammissibili” rientranti in una dell</w:t>
      </w:r>
      <w:r w:rsidR="00F94E91">
        <w:rPr>
          <w:snapToGrid w:val="0"/>
        </w:rPr>
        <w:t>e misure dei Programmi di Sviluppo Rurale</w:t>
      </w:r>
      <w:r w:rsidR="003532E2">
        <w:rPr>
          <w:snapToGrid w:val="0"/>
        </w:rPr>
        <w:t>.</w:t>
      </w:r>
    </w:p>
    <w:p w:rsidR="004727EC" w:rsidRDefault="00030D9B" w:rsidP="00273BE4">
      <w:pPr>
        <w:spacing w:before="120"/>
        <w:ind w:right="126"/>
        <w:jc w:val="both"/>
        <w:rPr>
          <w:snapToGrid w:val="0"/>
        </w:rPr>
      </w:pPr>
      <w:r>
        <w:rPr>
          <w:snapToGrid w:val="0"/>
        </w:rPr>
        <w:t>Una spesa per essere ammissibile deve</w:t>
      </w:r>
      <w:r w:rsidR="004727EC">
        <w:rPr>
          <w:snapToGrid w:val="0"/>
        </w:rPr>
        <w:t>:</w:t>
      </w:r>
    </w:p>
    <w:p w:rsidR="00AF156B" w:rsidRPr="00945FE0" w:rsidRDefault="00030D9B" w:rsidP="00945FE0">
      <w:pPr>
        <w:pStyle w:val="Paragrafoelenco"/>
        <w:numPr>
          <w:ilvl w:val="0"/>
          <w:numId w:val="52"/>
        </w:numPr>
        <w:tabs>
          <w:tab w:val="left" w:pos="540"/>
        </w:tabs>
        <w:spacing w:before="120"/>
        <w:ind w:right="126"/>
        <w:jc w:val="both"/>
        <w:rPr>
          <w:rFonts w:ascii="Times New Roman" w:hAnsi="Times New Roman"/>
          <w:snapToGrid w:val="0"/>
          <w:sz w:val="24"/>
          <w:szCs w:val="24"/>
        </w:rPr>
      </w:pPr>
      <w:r w:rsidRPr="00945FE0">
        <w:rPr>
          <w:rFonts w:ascii="Times New Roman" w:hAnsi="Times New Roman"/>
          <w:snapToGrid w:val="0"/>
          <w:sz w:val="24"/>
          <w:szCs w:val="24"/>
        </w:rPr>
        <w:t xml:space="preserve">essere imputabile ad un’operazione </w:t>
      </w:r>
      <w:r w:rsidR="000E76B7" w:rsidRPr="00945FE0">
        <w:rPr>
          <w:rFonts w:ascii="Times New Roman" w:hAnsi="Times New Roman"/>
          <w:snapToGrid w:val="0"/>
          <w:sz w:val="24"/>
          <w:szCs w:val="24"/>
        </w:rPr>
        <w:t>finanziata</w:t>
      </w:r>
      <w:r w:rsidR="002C04A7" w:rsidRPr="00945FE0">
        <w:rPr>
          <w:rFonts w:ascii="Times New Roman" w:hAnsi="Times New Roman"/>
          <w:snapToGrid w:val="0"/>
          <w:sz w:val="24"/>
          <w:szCs w:val="24"/>
        </w:rPr>
        <w:t>;</w:t>
      </w:r>
      <w:r w:rsidRPr="00945FE0">
        <w:rPr>
          <w:rFonts w:ascii="Times New Roman" w:hAnsi="Times New Roman"/>
          <w:snapToGrid w:val="0"/>
          <w:sz w:val="24"/>
          <w:szCs w:val="24"/>
        </w:rPr>
        <w:t xml:space="preserve"> vi deve essere una </w:t>
      </w:r>
      <w:r w:rsidR="00740D06" w:rsidRPr="00945FE0">
        <w:rPr>
          <w:rFonts w:ascii="Times New Roman" w:hAnsi="Times New Roman"/>
          <w:snapToGrid w:val="0"/>
          <w:sz w:val="24"/>
          <w:szCs w:val="24"/>
        </w:rPr>
        <w:t xml:space="preserve">diretta </w:t>
      </w:r>
      <w:r w:rsidR="00720C21" w:rsidRPr="00945FE0">
        <w:rPr>
          <w:rFonts w:ascii="Times New Roman" w:hAnsi="Times New Roman"/>
          <w:snapToGrid w:val="0"/>
          <w:sz w:val="24"/>
          <w:szCs w:val="24"/>
        </w:rPr>
        <w:t>relazione tra</w:t>
      </w:r>
      <w:r w:rsidRPr="00945FE0">
        <w:rPr>
          <w:rFonts w:ascii="Times New Roman" w:hAnsi="Times New Roman"/>
          <w:snapToGrid w:val="0"/>
          <w:sz w:val="24"/>
          <w:szCs w:val="24"/>
        </w:rPr>
        <w:t xml:space="preserve"> </w:t>
      </w:r>
      <w:r w:rsidR="00F94E91" w:rsidRPr="00945FE0">
        <w:rPr>
          <w:rFonts w:ascii="Times New Roman" w:hAnsi="Times New Roman"/>
          <w:snapToGrid w:val="0"/>
          <w:sz w:val="24"/>
          <w:szCs w:val="24"/>
        </w:rPr>
        <w:t xml:space="preserve">le spese </w:t>
      </w:r>
      <w:r w:rsidRPr="00945FE0">
        <w:rPr>
          <w:rFonts w:ascii="Times New Roman" w:hAnsi="Times New Roman"/>
          <w:snapToGrid w:val="0"/>
          <w:sz w:val="24"/>
          <w:szCs w:val="24"/>
        </w:rPr>
        <w:t xml:space="preserve">sostenute, </w:t>
      </w:r>
      <w:r w:rsidR="00F94E91" w:rsidRPr="00945FE0">
        <w:rPr>
          <w:rFonts w:ascii="Times New Roman" w:hAnsi="Times New Roman"/>
          <w:snapToGrid w:val="0"/>
          <w:sz w:val="24"/>
          <w:szCs w:val="24"/>
        </w:rPr>
        <w:t>le operazioni svolte e gli</w:t>
      </w:r>
      <w:r w:rsidRPr="00945FE0">
        <w:rPr>
          <w:rFonts w:ascii="Times New Roman" w:hAnsi="Times New Roman"/>
          <w:snapToGrid w:val="0"/>
          <w:sz w:val="24"/>
          <w:szCs w:val="24"/>
        </w:rPr>
        <w:t xml:space="preserve"> obiettivi al cui raggiungimento la misura </w:t>
      </w:r>
      <w:r w:rsidR="004727EC" w:rsidRPr="00945FE0">
        <w:rPr>
          <w:rFonts w:ascii="Times New Roman" w:hAnsi="Times New Roman"/>
          <w:snapToGrid w:val="0"/>
          <w:sz w:val="24"/>
          <w:szCs w:val="24"/>
        </w:rPr>
        <w:t>concorre</w:t>
      </w:r>
      <w:r w:rsidR="00BC371D" w:rsidRPr="00945FE0">
        <w:rPr>
          <w:rFonts w:ascii="Times New Roman" w:hAnsi="Times New Roman"/>
          <w:snapToGrid w:val="0"/>
          <w:sz w:val="24"/>
          <w:szCs w:val="24"/>
        </w:rPr>
        <w:t>;</w:t>
      </w:r>
    </w:p>
    <w:p w:rsidR="00945FE0" w:rsidRPr="00945FE0" w:rsidRDefault="003E2A18" w:rsidP="00945FE0">
      <w:pPr>
        <w:pStyle w:val="Paragrafoelenco"/>
        <w:numPr>
          <w:ilvl w:val="0"/>
          <w:numId w:val="52"/>
        </w:numPr>
        <w:tabs>
          <w:tab w:val="left" w:pos="540"/>
        </w:tabs>
        <w:spacing w:before="120"/>
        <w:ind w:right="126"/>
        <w:jc w:val="both"/>
        <w:rPr>
          <w:rFonts w:ascii="Times New Roman" w:hAnsi="Times New Roman"/>
          <w:snapToGrid w:val="0"/>
          <w:sz w:val="24"/>
          <w:szCs w:val="24"/>
        </w:rPr>
      </w:pPr>
      <w:r w:rsidRPr="00945FE0">
        <w:rPr>
          <w:rFonts w:ascii="Times New Roman" w:hAnsi="Times New Roman"/>
          <w:snapToGrid w:val="0"/>
          <w:sz w:val="24"/>
          <w:szCs w:val="24"/>
        </w:rPr>
        <w:t xml:space="preserve">essere </w:t>
      </w:r>
      <w:r w:rsidR="00030D9B" w:rsidRPr="00945FE0">
        <w:rPr>
          <w:rFonts w:ascii="Times New Roman" w:hAnsi="Times New Roman"/>
          <w:snapToGrid w:val="0"/>
          <w:sz w:val="24"/>
          <w:szCs w:val="24"/>
        </w:rPr>
        <w:t xml:space="preserve">pertinente </w:t>
      </w:r>
      <w:r w:rsidR="004727EC" w:rsidRPr="00945FE0">
        <w:rPr>
          <w:rFonts w:ascii="Times New Roman" w:hAnsi="Times New Roman"/>
          <w:snapToGrid w:val="0"/>
          <w:sz w:val="24"/>
          <w:szCs w:val="24"/>
        </w:rPr>
        <w:t xml:space="preserve">rispetto </w:t>
      </w:r>
      <w:r w:rsidR="00030D9B" w:rsidRPr="00945FE0">
        <w:rPr>
          <w:rFonts w:ascii="Times New Roman" w:hAnsi="Times New Roman"/>
          <w:snapToGrid w:val="0"/>
          <w:sz w:val="24"/>
          <w:szCs w:val="24"/>
        </w:rPr>
        <w:t xml:space="preserve">all’azione ammissibile </w:t>
      </w:r>
      <w:r w:rsidR="004727EC" w:rsidRPr="00945FE0">
        <w:rPr>
          <w:rFonts w:ascii="Times New Roman" w:hAnsi="Times New Roman"/>
          <w:snapToGrid w:val="0"/>
          <w:sz w:val="24"/>
          <w:szCs w:val="24"/>
        </w:rPr>
        <w:t xml:space="preserve">e </w:t>
      </w:r>
      <w:r w:rsidRPr="00945FE0">
        <w:rPr>
          <w:rFonts w:ascii="Times New Roman" w:hAnsi="Times New Roman"/>
          <w:snapToGrid w:val="0"/>
          <w:sz w:val="24"/>
          <w:szCs w:val="24"/>
        </w:rPr>
        <w:t xml:space="preserve">risultare conseguenza diretta </w:t>
      </w:r>
      <w:r w:rsidR="00024057" w:rsidRPr="00945FE0">
        <w:rPr>
          <w:rFonts w:ascii="Times New Roman" w:hAnsi="Times New Roman"/>
          <w:snapToGrid w:val="0"/>
          <w:sz w:val="24"/>
          <w:szCs w:val="24"/>
        </w:rPr>
        <w:t>de</w:t>
      </w:r>
      <w:r w:rsidRPr="00945FE0">
        <w:rPr>
          <w:rFonts w:ascii="Times New Roman" w:hAnsi="Times New Roman"/>
          <w:snapToGrid w:val="0"/>
          <w:sz w:val="24"/>
          <w:szCs w:val="24"/>
        </w:rPr>
        <w:t>ll’azione stessa</w:t>
      </w:r>
      <w:r w:rsidR="00BC371D" w:rsidRPr="00945FE0">
        <w:rPr>
          <w:rFonts w:ascii="Times New Roman" w:hAnsi="Times New Roman"/>
          <w:snapToGrid w:val="0"/>
          <w:sz w:val="24"/>
          <w:szCs w:val="24"/>
        </w:rPr>
        <w:t>;</w:t>
      </w:r>
    </w:p>
    <w:p w:rsidR="00945FE0" w:rsidRPr="00945FE0" w:rsidRDefault="00024057" w:rsidP="00945FE0">
      <w:pPr>
        <w:pStyle w:val="Paragrafoelenco"/>
        <w:numPr>
          <w:ilvl w:val="0"/>
          <w:numId w:val="52"/>
        </w:numPr>
        <w:tabs>
          <w:tab w:val="left" w:pos="540"/>
        </w:tabs>
        <w:spacing w:before="120"/>
        <w:ind w:right="126"/>
        <w:jc w:val="both"/>
        <w:rPr>
          <w:rFonts w:ascii="Times New Roman" w:hAnsi="Times New Roman"/>
          <w:sz w:val="24"/>
          <w:szCs w:val="24"/>
        </w:rPr>
      </w:pPr>
      <w:r w:rsidRPr="00945FE0">
        <w:rPr>
          <w:rFonts w:ascii="Times New Roman" w:hAnsi="Times New Roman"/>
          <w:snapToGrid w:val="0"/>
          <w:sz w:val="24"/>
          <w:szCs w:val="24"/>
        </w:rPr>
        <w:t xml:space="preserve">essere congrua rispetto all’azione </w:t>
      </w:r>
      <w:r w:rsidR="004727EC" w:rsidRPr="00945FE0">
        <w:rPr>
          <w:rFonts w:ascii="Times New Roman" w:hAnsi="Times New Roman"/>
          <w:snapToGrid w:val="0"/>
          <w:sz w:val="24"/>
          <w:szCs w:val="24"/>
        </w:rPr>
        <w:t xml:space="preserve">ammessa e </w:t>
      </w:r>
      <w:r w:rsidRPr="00945FE0">
        <w:rPr>
          <w:rFonts w:ascii="Times New Roman" w:hAnsi="Times New Roman"/>
          <w:snapToGrid w:val="0"/>
          <w:sz w:val="24"/>
          <w:szCs w:val="24"/>
        </w:rPr>
        <w:t>comportare costi commisura</w:t>
      </w:r>
      <w:r w:rsidR="00B0778C" w:rsidRPr="00945FE0">
        <w:rPr>
          <w:rFonts w:ascii="Times New Roman" w:hAnsi="Times New Roman"/>
          <w:snapToGrid w:val="0"/>
          <w:sz w:val="24"/>
          <w:szCs w:val="24"/>
        </w:rPr>
        <w:t>ti alla dimensione del progetto</w:t>
      </w:r>
      <w:r w:rsidR="00C06239" w:rsidRPr="00945FE0">
        <w:rPr>
          <w:rFonts w:ascii="Times New Roman" w:hAnsi="Times New Roman"/>
          <w:sz w:val="24"/>
          <w:szCs w:val="24"/>
        </w:rPr>
        <w:t>;</w:t>
      </w:r>
    </w:p>
    <w:p w:rsidR="00945FE0" w:rsidRPr="00945FE0" w:rsidRDefault="00C06239" w:rsidP="00945FE0">
      <w:pPr>
        <w:pStyle w:val="Paragrafoelenco"/>
        <w:numPr>
          <w:ilvl w:val="0"/>
          <w:numId w:val="52"/>
        </w:numPr>
        <w:tabs>
          <w:tab w:val="left" w:pos="540"/>
        </w:tabs>
        <w:spacing w:before="120"/>
        <w:ind w:right="126"/>
        <w:jc w:val="both"/>
        <w:rPr>
          <w:rFonts w:ascii="Times New Roman" w:hAnsi="Times New Roman"/>
          <w:sz w:val="24"/>
          <w:szCs w:val="24"/>
        </w:rPr>
      </w:pPr>
      <w:r w:rsidRPr="00945FE0">
        <w:rPr>
          <w:rFonts w:ascii="Times New Roman" w:hAnsi="Times New Roman"/>
          <w:snapToGrid w:val="0"/>
          <w:sz w:val="24"/>
          <w:szCs w:val="24"/>
        </w:rPr>
        <w:t>essere necessaria per attuare l</w:t>
      </w:r>
      <w:r w:rsidR="00F94E91" w:rsidRPr="00945FE0">
        <w:rPr>
          <w:rFonts w:ascii="Times New Roman" w:hAnsi="Times New Roman"/>
          <w:snapToGrid w:val="0"/>
          <w:sz w:val="24"/>
          <w:szCs w:val="24"/>
        </w:rPr>
        <w:t>'azione o l’</w:t>
      </w:r>
      <w:r w:rsidR="00B2185B" w:rsidRPr="00945FE0">
        <w:rPr>
          <w:rFonts w:ascii="Times New Roman" w:hAnsi="Times New Roman"/>
          <w:snapToGrid w:val="0"/>
          <w:sz w:val="24"/>
          <w:szCs w:val="24"/>
        </w:rPr>
        <w:t>operazione</w:t>
      </w:r>
      <w:r w:rsidR="00720C21" w:rsidRPr="00945FE0">
        <w:rPr>
          <w:rFonts w:ascii="Times New Roman" w:hAnsi="Times New Roman"/>
          <w:snapToGrid w:val="0"/>
          <w:sz w:val="24"/>
          <w:szCs w:val="24"/>
        </w:rPr>
        <w:t xml:space="preserve"> oggetto della sovvenzione</w:t>
      </w:r>
      <w:r w:rsidR="00945FE0">
        <w:rPr>
          <w:rFonts w:ascii="Times New Roman" w:hAnsi="Times New Roman"/>
          <w:snapToGrid w:val="0"/>
          <w:sz w:val="24"/>
          <w:szCs w:val="24"/>
        </w:rPr>
        <w:t>;</w:t>
      </w:r>
    </w:p>
    <w:p w:rsidR="003C1DF1" w:rsidRPr="00945FE0" w:rsidRDefault="00945FE0" w:rsidP="00945FE0">
      <w:pPr>
        <w:pStyle w:val="Paragrafoelenco"/>
        <w:numPr>
          <w:ilvl w:val="0"/>
          <w:numId w:val="52"/>
        </w:numPr>
        <w:tabs>
          <w:tab w:val="left" w:pos="540"/>
        </w:tabs>
        <w:spacing w:before="120"/>
        <w:ind w:right="126"/>
        <w:jc w:val="both"/>
        <w:rPr>
          <w:rFonts w:ascii="Times New Roman" w:hAnsi="Times New Roman"/>
          <w:sz w:val="24"/>
          <w:szCs w:val="24"/>
        </w:rPr>
      </w:pPr>
      <w:r>
        <w:rPr>
          <w:rFonts w:ascii="Times New Roman" w:hAnsi="Times New Roman"/>
          <w:snapToGrid w:val="0"/>
          <w:sz w:val="24"/>
          <w:szCs w:val="24"/>
        </w:rPr>
        <w:t xml:space="preserve">riguardare interventi decisi dall’Autorità di Gestione del programma, o sotto la sua responsabilità, secondo </w:t>
      </w:r>
      <w:r w:rsidR="00DD2D83">
        <w:rPr>
          <w:rFonts w:ascii="Times New Roman" w:hAnsi="Times New Roman"/>
          <w:snapToGrid w:val="0"/>
          <w:sz w:val="24"/>
          <w:szCs w:val="24"/>
        </w:rPr>
        <w:t>i criteri di selezione di cui all’articolo 49 del Reg. (UE) n. 1305/13</w:t>
      </w:r>
      <w:r w:rsidR="00720C21" w:rsidRPr="00945FE0">
        <w:rPr>
          <w:rFonts w:ascii="Times New Roman" w:hAnsi="Times New Roman"/>
          <w:snapToGrid w:val="0"/>
          <w:sz w:val="24"/>
          <w:szCs w:val="24"/>
        </w:rPr>
        <w:t>.</w:t>
      </w:r>
    </w:p>
    <w:p w:rsidR="00A01666" w:rsidRPr="00B625A1" w:rsidRDefault="00417386" w:rsidP="00273BE4">
      <w:pPr>
        <w:spacing w:before="120"/>
        <w:ind w:right="126"/>
        <w:jc w:val="both"/>
        <w:rPr>
          <w:snapToGrid w:val="0"/>
        </w:rPr>
      </w:pPr>
      <w:r w:rsidRPr="00B625A1">
        <w:rPr>
          <w:snapToGrid w:val="0"/>
        </w:rPr>
        <w:lastRenderedPageBreak/>
        <w:t>I costi</w:t>
      </w:r>
      <w:r w:rsidR="00C8594D">
        <w:rPr>
          <w:snapToGrid w:val="0"/>
        </w:rPr>
        <w:t xml:space="preserve">, </w:t>
      </w:r>
      <w:r w:rsidR="003928BC">
        <w:rPr>
          <w:snapToGrid w:val="0"/>
        </w:rPr>
        <w:t>ivi comprese quelli relativi alle spese generali,</w:t>
      </w:r>
      <w:r w:rsidRPr="00B625A1">
        <w:rPr>
          <w:snapToGrid w:val="0"/>
        </w:rPr>
        <w:t xml:space="preserve"> devono essere ragionevoli</w:t>
      </w:r>
      <w:r w:rsidR="00364154">
        <w:rPr>
          <w:snapToGrid w:val="0"/>
        </w:rPr>
        <w:t>, giustificati</w:t>
      </w:r>
      <w:r w:rsidR="006D3394">
        <w:rPr>
          <w:snapToGrid w:val="0"/>
        </w:rPr>
        <w:t xml:space="preserve"> </w:t>
      </w:r>
      <w:r w:rsidRPr="00B625A1">
        <w:rPr>
          <w:snapToGrid w:val="0"/>
        </w:rPr>
        <w:t>e conformi ai principi di sana gestione finanziaria, in particolare in termini di economi</w:t>
      </w:r>
      <w:r w:rsidR="009F0CC6">
        <w:rPr>
          <w:snapToGrid w:val="0"/>
        </w:rPr>
        <w:t>cità</w:t>
      </w:r>
      <w:r w:rsidR="00B2185B">
        <w:rPr>
          <w:snapToGrid w:val="0"/>
        </w:rPr>
        <w:t xml:space="preserve"> e di efficienza.</w:t>
      </w:r>
    </w:p>
    <w:p w:rsidR="002522C0" w:rsidRPr="002522C0" w:rsidRDefault="008C211E" w:rsidP="00F24EFD">
      <w:pPr>
        <w:spacing w:before="120"/>
        <w:ind w:right="126"/>
        <w:jc w:val="both"/>
        <w:rPr>
          <w:snapToGrid w:val="0"/>
        </w:rPr>
      </w:pPr>
      <w:r>
        <w:rPr>
          <w:snapToGrid w:val="0"/>
        </w:rPr>
        <w:t>I c</w:t>
      </w:r>
      <w:r w:rsidRPr="008C211E">
        <w:rPr>
          <w:snapToGrid w:val="0"/>
        </w:rPr>
        <w:t xml:space="preserve">ontrolli amministrativi sulle domande di sostegno </w:t>
      </w:r>
      <w:r w:rsidRPr="00496230">
        <w:rPr>
          <w:snapToGrid w:val="0"/>
        </w:rPr>
        <w:t>dovrebbero</w:t>
      </w:r>
      <w:r>
        <w:rPr>
          <w:snapToGrid w:val="0"/>
        </w:rPr>
        <w:t xml:space="preserve"> </w:t>
      </w:r>
      <w:r w:rsidRPr="008C211E">
        <w:rPr>
          <w:snapToGrid w:val="0"/>
        </w:rPr>
        <w:t>include</w:t>
      </w:r>
      <w:r>
        <w:rPr>
          <w:snapToGrid w:val="0"/>
        </w:rPr>
        <w:t>re</w:t>
      </w:r>
      <w:r w:rsidRPr="008C211E">
        <w:rPr>
          <w:snapToGrid w:val="0"/>
        </w:rPr>
        <w:t xml:space="preserve"> in particolare la verifica della rag</w:t>
      </w:r>
      <w:r>
        <w:rPr>
          <w:snapToGrid w:val="0"/>
        </w:rPr>
        <w:t>ionevolezza dei costi</w:t>
      </w:r>
      <w:r w:rsidR="00A1534C">
        <w:rPr>
          <w:snapToGrid w:val="0"/>
        </w:rPr>
        <w:t>,</w:t>
      </w:r>
      <w:r>
        <w:rPr>
          <w:snapToGrid w:val="0"/>
        </w:rPr>
        <w:t xml:space="preserve"> </w:t>
      </w:r>
      <w:r w:rsidRPr="008C211E">
        <w:rPr>
          <w:snapToGrid w:val="0"/>
        </w:rPr>
        <w:t>utilizzando un sistema di valutazione adeguato</w:t>
      </w:r>
      <w:r w:rsidR="00F24EFD">
        <w:rPr>
          <w:snapToGrid w:val="0"/>
        </w:rPr>
        <w:t>.</w:t>
      </w:r>
    </w:p>
    <w:p w:rsidR="00170B63" w:rsidRDefault="000B06CE" w:rsidP="007A1637">
      <w:pPr>
        <w:spacing w:before="120"/>
        <w:ind w:right="126"/>
        <w:jc w:val="both"/>
        <w:rPr>
          <w:snapToGrid w:val="0"/>
        </w:rPr>
      </w:pPr>
      <w:r>
        <w:rPr>
          <w:snapToGrid w:val="0"/>
        </w:rPr>
        <w:t>P</w:t>
      </w:r>
      <w:r w:rsidR="00170B63">
        <w:rPr>
          <w:snapToGrid w:val="0"/>
        </w:rPr>
        <w:t>er verificare la ragionevolezza dei costi,</w:t>
      </w:r>
      <w:r>
        <w:rPr>
          <w:snapToGrid w:val="0"/>
        </w:rPr>
        <w:t xml:space="preserve"> in alternativa</w:t>
      </w:r>
      <w:r w:rsidR="00A1534C">
        <w:rPr>
          <w:snapToGrid w:val="0"/>
        </w:rPr>
        <w:t xml:space="preserve"> all’utilizzo dei costi semplificati</w:t>
      </w:r>
      <w:r>
        <w:rPr>
          <w:snapToGrid w:val="0"/>
        </w:rPr>
        <w:t xml:space="preserve"> quale </w:t>
      </w:r>
      <w:r w:rsidR="00A1534C">
        <w:rPr>
          <w:snapToGrid w:val="0"/>
        </w:rPr>
        <w:t>metodo privilegiato</w:t>
      </w:r>
      <w:r>
        <w:rPr>
          <w:snapToGrid w:val="0"/>
        </w:rPr>
        <w:t>,</w:t>
      </w:r>
      <w:r w:rsidR="00170B63">
        <w:rPr>
          <w:snapToGrid w:val="0"/>
        </w:rPr>
        <w:t xml:space="preserve"> si può far ricorso </w:t>
      </w:r>
      <w:r w:rsidR="00F24EFD">
        <w:rPr>
          <w:snapToGrid w:val="0"/>
        </w:rPr>
        <w:t>ad uno dei seguenti metodi, adottato singolarmente o in maniera mista laddove l’adozione di un solo metodo non garantisca un’adeguata valutazione:</w:t>
      </w:r>
    </w:p>
    <w:p w:rsidR="00765857" w:rsidRDefault="00765857" w:rsidP="00BE7ABC">
      <w:pPr>
        <w:pStyle w:val="Paragrafoelenco"/>
        <w:numPr>
          <w:ilvl w:val="0"/>
          <w:numId w:val="49"/>
        </w:numPr>
        <w:spacing w:before="120"/>
        <w:ind w:right="1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confronto tra </w:t>
      </w:r>
      <w:r w:rsidRPr="00EA213D">
        <w:rPr>
          <w:rFonts w:ascii="Times New Roman" w:eastAsia="Times New Roman" w:hAnsi="Times New Roman"/>
          <w:sz w:val="24"/>
          <w:szCs w:val="24"/>
          <w:lang w:eastAsia="it-IT"/>
        </w:rPr>
        <w:t>preventivi</w:t>
      </w:r>
      <w:r>
        <w:rPr>
          <w:rFonts w:ascii="Times New Roman" w:eastAsia="Times New Roman" w:hAnsi="Times New Roman"/>
          <w:sz w:val="24"/>
          <w:szCs w:val="24"/>
          <w:lang w:eastAsia="it-IT"/>
        </w:rPr>
        <w:t>;</w:t>
      </w:r>
    </w:p>
    <w:p w:rsidR="00A1534C" w:rsidRDefault="00765857" w:rsidP="00BE7ABC">
      <w:pPr>
        <w:pStyle w:val="Paragrafoelenco"/>
        <w:numPr>
          <w:ilvl w:val="0"/>
          <w:numId w:val="49"/>
        </w:numPr>
        <w:spacing w:before="120"/>
        <w:ind w:right="1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w:t>
      </w:r>
      <w:r w:rsidR="00290737" w:rsidRPr="00EA213D">
        <w:rPr>
          <w:rFonts w:ascii="Times New Roman" w:eastAsia="Times New Roman" w:hAnsi="Times New Roman"/>
          <w:sz w:val="24"/>
          <w:szCs w:val="24"/>
          <w:lang w:eastAsia="it-IT"/>
        </w:rPr>
        <w:t>dozione di un listino dei prezzi di mercato o database</w:t>
      </w:r>
      <w:r w:rsidR="00A1534C">
        <w:rPr>
          <w:rFonts w:ascii="Times New Roman" w:eastAsia="Times New Roman" w:hAnsi="Times New Roman"/>
          <w:sz w:val="24"/>
          <w:szCs w:val="24"/>
          <w:lang w:eastAsia="it-IT"/>
        </w:rPr>
        <w:t xml:space="preserve"> costantemente aggiornato </w:t>
      </w:r>
      <w:r w:rsidR="00DD2D83">
        <w:rPr>
          <w:rFonts w:ascii="Times New Roman" w:eastAsia="Times New Roman" w:hAnsi="Times New Roman"/>
          <w:sz w:val="24"/>
          <w:szCs w:val="24"/>
          <w:lang w:eastAsia="it-IT"/>
        </w:rPr>
        <w:t xml:space="preserve">e realistico </w:t>
      </w:r>
      <w:r w:rsidR="00A1534C">
        <w:rPr>
          <w:rFonts w:ascii="Times New Roman" w:eastAsia="Times New Roman" w:hAnsi="Times New Roman"/>
          <w:sz w:val="24"/>
          <w:szCs w:val="24"/>
          <w:lang w:eastAsia="it-IT"/>
        </w:rPr>
        <w:t xml:space="preserve">delle varie categorie di macchine, </w:t>
      </w:r>
      <w:r w:rsidR="00290737" w:rsidRPr="00EA213D">
        <w:rPr>
          <w:rFonts w:ascii="Times New Roman" w:eastAsia="Times New Roman" w:hAnsi="Times New Roman"/>
          <w:sz w:val="24"/>
          <w:szCs w:val="24"/>
          <w:lang w:eastAsia="it-IT"/>
        </w:rPr>
        <w:t>attrezzature</w:t>
      </w:r>
      <w:r w:rsidR="00A1534C">
        <w:rPr>
          <w:rFonts w:ascii="Times New Roman" w:eastAsia="Times New Roman" w:hAnsi="Times New Roman"/>
          <w:sz w:val="24"/>
          <w:szCs w:val="24"/>
          <w:lang w:eastAsia="it-IT"/>
        </w:rPr>
        <w:t>, nonché altri lavori compresi quelli di impiantistica;</w:t>
      </w:r>
    </w:p>
    <w:p w:rsidR="00F24EFD" w:rsidRPr="00EA213D" w:rsidRDefault="00A1534C" w:rsidP="00BE7ABC">
      <w:pPr>
        <w:pStyle w:val="Paragrafoelenco"/>
        <w:numPr>
          <w:ilvl w:val="0"/>
          <w:numId w:val="49"/>
        </w:numPr>
        <w:spacing w:before="120"/>
        <w:ind w:right="12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v</w:t>
      </w:r>
      <w:r w:rsidR="00447EDF">
        <w:rPr>
          <w:rFonts w:ascii="Times New Roman" w:eastAsia="Times New Roman" w:hAnsi="Times New Roman"/>
          <w:sz w:val="24"/>
          <w:szCs w:val="24"/>
          <w:lang w:eastAsia="it-IT"/>
        </w:rPr>
        <w:t xml:space="preserve">alutazione </w:t>
      </w:r>
      <w:r>
        <w:rPr>
          <w:rFonts w:ascii="Times New Roman" w:eastAsia="Times New Roman" w:hAnsi="Times New Roman"/>
          <w:sz w:val="24"/>
          <w:szCs w:val="24"/>
          <w:lang w:eastAsia="it-IT"/>
        </w:rPr>
        <w:t>tecnica indipendente sui costi.</w:t>
      </w:r>
      <w:r w:rsidR="00F24EFD" w:rsidRPr="00EA213D">
        <w:rPr>
          <w:rFonts w:ascii="Times New Roman" w:eastAsia="Times New Roman" w:hAnsi="Times New Roman"/>
          <w:sz w:val="24"/>
          <w:szCs w:val="24"/>
          <w:lang w:eastAsia="it-IT"/>
        </w:rPr>
        <w:t xml:space="preserve"> </w:t>
      </w:r>
    </w:p>
    <w:p w:rsidR="00F24EFD" w:rsidRDefault="00961806" w:rsidP="00F24EFD">
      <w:pPr>
        <w:spacing w:before="120"/>
        <w:ind w:right="126"/>
        <w:jc w:val="both"/>
      </w:pPr>
      <w:r>
        <w:t xml:space="preserve">Nel caso in cui il metodo prescelto sia quello del confronto tra preventivi, </w:t>
      </w:r>
      <w:r w:rsidR="00F24EFD">
        <w:t>è necessario adottare una selezione del prodott</w:t>
      </w:r>
      <w:r w:rsidR="00DD2D83">
        <w:t>o da acquistare basata sull’esame di</w:t>
      </w:r>
      <w:r w:rsidR="000D70D7">
        <w:t xml:space="preserve"> almeno 3</w:t>
      </w:r>
      <w:r w:rsidR="00F24EFD">
        <w:t xml:space="preserve"> preventivi d</w:t>
      </w:r>
      <w:r>
        <w:t xml:space="preserve">i spesa </w:t>
      </w:r>
      <w:r w:rsidR="00DD2D83">
        <w:t xml:space="preserve">confrontabili, </w:t>
      </w:r>
      <w:r>
        <w:t>forniti da fornitori diversi</w:t>
      </w:r>
      <w:r w:rsidR="000B06CE">
        <w:t xml:space="preserve"> </w:t>
      </w:r>
      <w:r w:rsidR="00DD2D83">
        <w:t xml:space="preserve">e </w:t>
      </w:r>
      <w:r w:rsidR="000B06CE">
        <w:t>riportanti nei det</w:t>
      </w:r>
      <w:r w:rsidR="00B11C43">
        <w:t>tagli l’oggetto della fornitura</w:t>
      </w:r>
      <w:r w:rsidR="00DD2D83">
        <w:t>, e procedere</w:t>
      </w:r>
      <w:r w:rsidR="00F24EFD">
        <w:t xml:space="preserve"> quindi alla scelta di quello che, per parametri tecnico-economici</w:t>
      </w:r>
      <w:r w:rsidR="00DD2D83">
        <w:t xml:space="preserve"> e per costi/benefici</w:t>
      </w:r>
      <w:r w:rsidR="00F24EFD">
        <w:t>, viene ritenuto il più idoneo.</w:t>
      </w:r>
    </w:p>
    <w:p w:rsidR="00620751" w:rsidRDefault="00F24EFD" w:rsidP="00F24EFD">
      <w:pPr>
        <w:spacing w:before="120"/>
        <w:ind w:right="126"/>
        <w:jc w:val="both"/>
      </w:pPr>
      <w:r w:rsidRPr="001A2FA7">
        <w:t>A tale scopo, è necessario che il beneficiario fornisca una br</w:t>
      </w:r>
      <w:r w:rsidR="00AC1228">
        <w:t>eve relazione tecnico/economica</w:t>
      </w:r>
      <w:r w:rsidR="00D23054" w:rsidRPr="001A2FA7">
        <w:t xml:space="preserve"> </w:t>
      </w:r>
      <w:r w:rsidR="00776061" w:rsidRPr="00290737">
        <w:t>illustrante la motivazione della scelta del preventivo ritenuto valido</w:t>
      </w:r>
      <w:r w:rsidR="00AC1228">
        <w:t xml:space="preserve">. </w:t>
      </w:r>
      <w:r w:rsidR="000B06CE">
        <w:t xml:space="preserve">La relazione tecnico/economica non è necessaria se la scelta del preventivo risulta essere quella </w:t>
      </w:r>
      <w:r w:rsidR="00DD5F92">
        <w:t xml:space="preserve">con il prezzo più </w:t>
      </w:r>
      <w:r w:rsidR="00620751">
        <w:t>basso.</w:t>
      </w:r>
    </w:p>
    <w:p w:rsidR="000D70D7" w:rsidRDefault="00620751" w:rsidP="00F24EFD">
      <w:pPr>
        <w:spacing w:before="120"/>
        <w:ind w:right="126"/>
        <w:jc w:val="both"/>
      </w:pPr>
      <w:r>
        <w:t>Tale</w:t>
      </w:r>
      <w:r w:rsidR="00F24EFD">
        <w:t xml:space="preserve"> documentazione dovrà essere acquisita </w:t>
      </w:r>
      <w:r w:rsidR="00F24EFD" w:rsidRPr="00F24EFD">
        <w:t>dall’Autorità di gestione o dal soggetto delegato prima dell’emanazione del provvedimento di conce</w:t>
      </w:r>
      <w:r w:rsidR="006B1DE3">
        <w:t>ssione del contributo afferente</w:t>
      </w:r>
      <w:r w:rsidR="00F24EFD" w:rsidRPr="00F24EFD">
        <w:t xml:space="preserve"> l’acquist</w:t>
      </w:r>
      <w:r w:rsidR="00FE4605">
        <w:t>o del bene di cui trattasi. I</w:t>
      </w:r>
      <w:r w:rsidR="00F24EFD" w:rsidRPr="00F24EFD">
        <w:t xml:space="preserve">n casi debitamente motivati, tale fase può essere </w:t>
      </w:r>
      <w:r w:rsidR="00F24EFD" w:rsidRPr="005F36E5">
        <w:t>esple</w:t>
      </w:r>
      <w:r w:rsidR="00C271A0" w:rsidRPr="00EA213D">
        <w:t>tata prima della liquidazione del contributo</w:t>
      </w:r>
      <w:r w:rsidR="00F24EFD" w:rsidRPr="00F24EFD">
        <w:t>.</w:t>
      </w:r>
    </w:p>
    <w:p w:rsidR="00F24EFD" w:rsidRDefault="00F24EFD" w:rsidP="00F24EFD">
      <w:pPr>
        <w:spacing w:before="120"/>
        <w:ind w:right="126"/>
        <w:jc w:val="both"/>
      </w:pPr>
      <w:r w:rsidRPr="005F36E5">
        <w:t>Nel caso di utilizzo del metodo dei 3 preventivi, le offerte devono</w:t>
      </w:r>
      <w:r>
        <w:t xml:space="preserve"> essere indipendenti (fornite da tre fornitori </w:t>
      </w:r>
      <w:r w:rsidR="00FE4605">
        <w:t>differenti</w:t>
      </w:r>
      <w:r>
        <w:t>), comparabili e competitive rispett</w:t>
      </w:r>
      <w:r w:rsidR="00DD2D83">
        <w:t>o ai prezzi di mercato (gli importi</w:t>
      </w:r>
      <w:r>
        <w:t xml:space="preserve"> devono riflettere i prezzi praticati effettivamente sul mercato e non i prezzi di catalogo).</w:t>
      </w:r>
      <w:r w:rsidR="00776061">
        <w:t xml:space="preserve"> In partico</w:t>
      </w:r>
      <w:r w:rsidR="003928BC">
        <w:t>lare, occorre verificare,</w:t>
      </w:r>
      <w:r w:rsidR="00342324">
        <w:t xml:space="preserve"> </w:t>
      </w:r>
      <w:r w:rsidR="003928BC">
        <w:t xml:space="preserve">attraverso l’uso di adeguate </w:t>
      </w:r>
      <w:r w:rsidR="00776061">
        <w:t>check-list,</w:t>
      </w:r>
      <w:r w:rsidR="00342324">
        <w:t xml:space="preserve"> che i tre</w:t>
      </w:r>
      <w:r w:rsidR="00776061">
        <w:t xml:space="preserve"> p</w:t>
      </w:r>
      <w:r w:rsidR="00FE4605">
        <w:t>reventivi vengano forniti da</w:t>
      </w:r>
      <w:r w:rsidR="00094383">
        <w:t xml:space="preserve"> fornitori</w:t>
      </w:r>
      <w:r w:rsidR="00776061">
        <w:t xml:space="preserve"> divers</w:t>
      </w:r>
      <w:r w:rsidR="00094383">
        <w:t>i</w:t>
      </w:r>
      <w:r w:rsidR="00F94E91">
        <w:t>.</w:t>
      </w:r>
    </w:p>
    <w:p w:rsidR="006E3C11" w:rsidRDefault="00D23054" w:rsidP="00F24EFD">
      <w:pPr>
        <w:spacing w:before="120"/>
        <w:ind w:right="126"/>
        <w:jc w:val="both"/>
      </w:pPr>
      <w:r>
        <w:t>Per i be</w:t>
      </w:r>
      <w:r w:rsidR="00765857">
        <w:t xml:space="preserve">ni e le attrezzature afferenti </w:t>
      </w:r>
      <w:r>
        <w:t>ad impianti o processi innovativi e per i quali non è poss</w:t>
      </w:r>
      <w:r w:rsidR="00765857">
        <w:t>ibile reperire</w:t>
      </w:r>
      <w:r w:rsidR="00342324">
        <w:t xml:space="preserve"> tre</w:t>
      </w:r>
      <w:r>
        <w:t xml:space="preserve"> differenti offerte comparabili tra di loro, è necessario presentare una relazione tecnica illustrativa della scelta del bene e dei motivi di unicità del preventivo proposto.</w:t>
      </w:r>
      <w:r w:rsidR="000D70D7">
        <w:t xml:space="preserve"> </w:t>
      </w:r>
      <w:r w:rsidR="006E3C11" w:rsidRPr="00765857">
        <w:t>Stessa procedura deve essere adottata per la realizzazione di opere e/o per l’acquisizione di servizi non compresi in prezziari</w:t>
      </w:r>
      <w:r w:rsidR="00F94E91" w:rsidRPr="00765857">
        <w:t>.</w:t>
      </w:r>
    </w:p>
    <w:p w:rsidR="00F24EFD" w:rsidRDefault="00F24EFD" w:rsidP="00F24EFD">
      <w:pPr>
        <w:spacing w:before="120"/>
        <w:ind w:right="126"/>
        <w:jc w:val="both"/>
      </w:pPr>
      <w:r>
        <w:t xml:space="preserve">In alternativa o in abbinamento al metodo basato sui </w:t>
      </w:r>
      <w:r w:rsidR="00342324">
        <w:t>tre</w:t>
      </w:r>
      <w:r>
        <w:t xml:space="preserve"> preventivi, l’Autorità di gestione può avvalersi della consultazione di</w:t>
      </w:r>
      <w:r w:rsidR="00765857">
        <w:t xml:space="preserve"> listini</w:t>
      </w:r>
      <w:r w:rsidRPr="00F24EFD">
        <w:t xml:space="preserve"> dei prezzi di mercato o </w:t>
      </w:r>
      <w:r>
        <w:t xml:space="preserve">di un </w:t>
      </w:r>
      <w:r w:rsidR="00F94E91">
        <w:t xml:space="preserve">database </w:t>
      </w:r>
      <w:r w:rsidR="00094383">
        <w:t xml:space="preserve">periodicamente </w:t>
      </w:r>
      <w:r w:rsidRPr="00F24EFD">
        <w:t>aggiornato dell</w:t>
      </w:r>
      <w:r w:rsidR="00765857">
        <w:t xml:space="preserve">e varie categorie di macchine, </w:t>
      </w:r>
      <w:r w:rsidRPr="00F24EFD">
        <w:t>attrezzature</w:t>
      </w:r>
      <w:r w:rsidR="00765857">
        <w:t xml:space="preserve"> nonché altre categorie di spesa. I</w:t>
      </w:r>
      <w:r>
        <w:t>n tal caso la base di dati dev</w:t>
      </w:r>
      <w:r w:rsidR="00765857">
        <w:t>e essere abbastanza dettagliata e</w:t>
      </w:r>
      <w:r w:rsidR="003928BC">
        <w:t xml:space="preserve"> i prezzi </w:t>
      </w:r>
      <w:r w:rsidR="00342324">
        <w:t>indicano</w:t>
      </w:r>
      <w:r>
        <w:t xml:space="preserve"> non solo i modelli più costosi ma tutti i modelli. La base di dati sui prezzi deve essere aggiornata regolarmente (ad esempio nel caso di tecnologie che nel corso degli anni hanno prezzi decrescenti</w:t>
      </w:r>
      <w:r w:rsidR="00765857">
        <w:t>,</w:t>
      </w:r>
      <w:r>
        <w:t xml:space="preserve"> come ad es</w:t>
      </w:r>
      <w:r w:rsidR="00EA213D">
        <w:t xml:space="preserve">empio </w:t>
      </w:r>
      <w:r>
        <w:t>per i pannelli solar</w:t>
      </w:r>
      <w:r w:rsidR="003928BC">
        <w:t xml:space="preserve">i). Anche in tal caso, gli importi </w:t>
      </w:r>
      <w:r>
        <w:t>non devono riflettere i prezzi di catalogo, ma i prezzi di mercato, con un aggiornamento periodico.</w:t>
      </w:r>
    </w:p>
    <w:p w:rsidR="00F24EFD" w:rsidRDefault="00EA213D" w:rsidP="00F24EFD">
      <w:pPr>
        <w:spacing w:before="120"/>
        <w:ind w:right="126"/>
        <w:jc w:val="both"/>
      </w:pPr>
      <w:r>
        <w:t>L</w:t>
      </w:r>
      <w:r w:rsidR="00F24EFD">
        <w:t>’Autorità di ges</w:t>
      </w:r>
      <w:r w:rsidR="00E5382A">
        <w:t xml:space="preserve">tione può istituire un comitato o </w:t>
      </w:r>
      <w:r w:rsidR="00F24EFD">
        <w:t>commissione di valutazione o svolgere informalmente una ricerca di mercato</w:t>
      </w:r>
      <w:r w:rsidR="000B06CE">
        <w:t>, anche tramite internet</w:t>
      </w:r>
      <w:r w:rsidR="003928BC">
        <w:t>. I</w:t>
      </w:r>
      <w:r w:rsidR="00F24EFD">
        <w:t xml:space="preserve"> membri del comitato di valutazione </w:t>
      </w:r>
      <w:r w:rsidR="00F24EFD">
        <w:lastRenderedPageBreak/>
        <w:t>devono avere esperienza sufficiente nel campo oggetto d</w:t>
      </w:r>
      <w:r>
        <w:t>ella</w:t>
      </w:r>
      <w:r w:rsidR="00F24EFD">
        <w:t xml:space="preserve"> valutazione </w:t>
      </w:r>
      <w:r w:rsidR="003928BC">
        <w:t>e non devono presentare conflitti di interesse. I</w:t>
      </w:r>
      <w:r w:rsidR="00F24EFD">
        <w:t xml:space="preserve">l lavoro deve </w:t>
      </w:r>
      <w:r w:rsidR="00765857">
        <w:t>essere documentato</w:t>
      </w:r>
      <w:r w:rsidR="00F24EFD">
        <w:t>.</w:t>
      </w:r>
    </w:p>
    <w:p w:rsidR="002324F8" w:rsidRDefault="00F24EFD" w:rsidP="00F24EFD">
      <w:pPr>
        <w:spacing w:before="120"/>
        <w:ind w:right="126"/>
        <w:jc w:val="both"/>
      </w:pPr>
      <w:r>
        <w:t xml:space="preserve">In caso di progetti complessi </w:t>
      </w:r>
      <w:r w:rsidR="00D24678">
        <w:t xml:space="preserve">nei quali non è utilizzabile il confronto tra diverse offerte o laddove le offerte divergono per parametri tecnici </w:t>
      </w:r>
      <w:r>
        <w:t>(es. macchinari o attrezzature o servizi specialistici innovativi non ancora diffusi sul mercato o che necessitano di adattamenti specialistici), la ragionevolezza dei costi potrà essere d</w:t>
      </w:r>
      <w:r w:rsidR="00F94E91">
        <w:t>imostrata attraverso una ricerc</w:t>
      </w:r>
      <w:r w:rsidR="001C2A5C">
        <w:t>a</w:t>
      </w:r>
      <w:r>
        <w:t xml:space="preserve"> di mercato per ottenere informazioni comparative e indipend</w:t>
      </w:r>
      <w:r w:rsidR="00D24678">
        <w:t>enti sui prezzi del prodotto, dei materiali che lo compongono</w:t>
      </w:r>
      <w:r>
        <w:t xml:space="preserve"> o dei servizi specialisti da acquistare sul mercato.</w:t>
      </w:r>
      <w:r w:rsidRPr="002642EA">
        <w:t xml:space="preserve"> </w:t>
      </w:r>
      <w:r>
        <w:t>Il riferimento alle banche dati dei prezzi e dei listini</w:t>
      </w:r>
      <w:r w:rsidR="003928BC">
        <w:t xml:space="preserve"> ufficiali può essere utile</w:t>
      </w:r>
      <w:r>
        <w:t xml:space="preserve">, ma </w:t>
      </w:r>
      <w:r w:rsidR="00EA213D">
        <w:t xml:space="preserve">è preferibile </w:t>
      </w:r>
      <w:r>
        <w:t>l’adozione di un m</w:t>
      </w:r>
      <w:r w:rsidR="00D24678">
        <w:t>etodo misto (es. confronto tra</w:t>
      </w:r>
      <w:r>
        <w:t xml:space="preserve"> preventivi e consultazione listin</w:t>
      </w:r>
      <w:r w:rsidR="006D3394">
        <w:t>o prezzi e/o parere di esperto)</w:t>
      </w:r>
      <w:r w:rsidR="00EA213D">
        <w:t>.</w:t>
      </w:r>
    </w:p>
    <w:p w:rsidR="002324F8" w:rsidRPr="002324F8" w:rsidRDefault="0088766B" w:rsidP="002324F8">
      <w:pPr>
        <w:spacing w:before="120"/>
        <w:jc w:val="both"/>
        <w:rPr>
          <w:lang w:val="de-DE"/>
        </w:rPr>
      </w:pPr>
      <w:r>
        <w:rPr>
          <w:lang w:val="de-DE"/>
        </w:rPr>
        <w:t>La verifica di congruità dei costi ammissibili relativi ad opere edili per le quali sia previsto un computo metrico estimativo può comprendere anc</w:t>
      </w:r>
      <w:r w:rsidR="003928BC">
        <w:rPr>
          <w:lang w:val="de-DE"/>
        </w:rPr>
        <w:t xml:space="preserve">he </w:t>
      </w:r>
      <w:r>
        <w:rPr>
          <w:lang w:val="de-DE"/>
        </w:rPr>
        <w:t>la voce relativa agli imprevisti, la cui percentuale è definita dall'Autorità di Gestione</w:t>
      </w:r>
      <w:r w:rsidR="002324F8">
        <w:rPr>
          <w:lang w:val="de-DE"/>
        </w:rPr>
        <w:t>.</w:t>
      </w:r>
    </w:p>
    <w:p w:rsidR="00F24EFD" w:rsidRPr="00170B63" w:rsidRDefault="00F24EFD" w:rsidP="00F24EFD">
      <w:pPr>
        <w:spacing w:before="120"/>
        <w:ind w:right="126"/>
        <w:jc w:val="both"/>
        <w:rPr>
          <w:snapToGrid w:val="0"/>
        </w:rPr>
      </w:pPr>
      <w:r>
        <w:t>In alcuni  casi, l</w:t>
      </w:r>
      <w:r w:rsidR="00D24678">
        <w:t>’utilizzo delle opzioni dei</w:t>
      </w:r>
      <w:r>
        <w:t xml:space="preserve"> </w:t>
      </w:r>
      <w:r w:rsidR="00D24678">
        <w:t xml:space="preserve">costi </w:t>
      </w:r>
      <w:r>
        <w:t>semplificati (tabelle standard di costo unitario) può limitare in modo efficace i rischi di una valutaz</w:t>
      </w:r>
      <w:r w:rsidR="008C0FB4">
        <w:t>ione dei prezzi non ragionevole</w:t>
      </w:r>
      <w:r>
        <w:t>. A tal fine si rimanda al</w:t>
      </w:r>
      <w:r w:rsidR="00D24678">
        <w:t xml:space="preserve"> paragrafo 3.8</w:t>
      </w:r>
      <w:r>
        <w:t xml:space="preserve"> del </w:t>
      </w:r>
      <w:r w:rsidR="00D24678">
        <w:t xml:space="preserve">presente </w:t>
      </w:r>
      <w:r>
        <w:t>documento.</w:t>
      </w:r>
    </w:p>
    <w:p w:rsidR="00170B63" w:rsidRDefault="00170B63" w:rsidP="007A1637">
      <w:pPr>
        <w:spacing w:before="120"/>
        <w:ind w:right="126"/>
        <w:jc w:val="both"/>
        <w:rPr>
          <w:snapToGrid w:val="0"/>
        </w:rPr>
      </w:pPr>
    </w:p>
    <w:p w:rsidR="00960BB5" w:rsidRPr="00646AE4" w:rsidRDefault="003532E2" w:rsidP="00646AE4">
      <w:pPr>
        <w:pStyle w:val="Titolo2"/>
        <w:tabs>
          <w:tab w:val="left" w:pos="720"/>
        </w:tabs>
        <w:ind w:left="720" w:right="126" w:hanging="720"/>
        <w:rPr>
          <w:snapToGrid w:val="0"/>
        </w:rPr>
      </w:pPr>
      <w:bookmarkStart w:id="7" w:name="_Toc432090700"/>
      <w:r>
        <w:rPr>
          <w:snapToGrid w:val="0"/>
        </w:rPr>
        <w:t>2</w:t>
      </w:r>
      <w:r w:rsidR="003E2A18">
        <w:rPr>
          <w:snapToGrid w:val="0"/>
        </w:rPr>
        <w:t xml:space="preserve">.3 </w:t>
      </w:r>
      <w:r w:rsidR="00361E2D">
        <w:rPr>
          <w:snapToGrid w:val="0"/>
        </w:rPr>
        <w:tab/>
      </w:r>
      <w:r w:rsidR="003E2A18">
        <w:rPr>
          <w:snapToGrid w:val="0"/>
        </w:rPr>
        <w:t>Verificabilità e controllabilità</w:t>
      </w:r>
      <w:bookmarkEnd w:id="7"/>
    </w:p>
    <w:p w:rsidR="00F05D28" w:rsidRDefault="00551BFF" w:rsidP="008132BB">
      <w:pPr>
        <w:spacing w:before="120"/>
        <w:ind w:right="126"/>
        <w:jc w:val="both"/>
        <w:rPr>
          <w:snapToGrid w:val="0"/>
        </w:rPr>
      </w:pPr>
      <w:r>
        <w:rPr>
          <w:snapToGrid w:val="0"/>
        </w:rPr>
        <w:t>Quale norma generale in merito all’ammissibilità delle spese, il Reg</w:t>
      </w:r>
      <w:r w:rsidR="002166A8">
        <w:rPr>
          <w:snapToGrid w:val="0"/>
        </w:rPr>
        <w:t>.</w:t>
      </w:r>
      <w:r>
        <w:rPr>
          <w:snapToGrid w:val="0"/>
        </w:rPr>
        <w:t xml:space="preserve"> (</w:t>
      </w:r>
      <w:r w:rsidR="008132BB">
        <w:rPr>
          <w:snapToGrid w:val="0"/>
        </w:rPr>
        <w:t>UE</w:t>
      </w:r>
      <w:r>
        <w:rPr>
          <w:snapToGrid w:val="0"/>
        </w:rPr>
        <w:t>) n.</w:t>
      </w:r>
      <w:r w:rsidR="008C5E06">
        <w:rPr>
          <w:snapToGrid w:val="0"/>
        </w:rPr>
        <w:t xml:space="preserve"> </w:t>
      </w:r>
      <w:r w:rsidR="008132BB">
        <w:rPr>
          <w:snapToGrid w:val="0"/>
        </w:rPr>
        <w:t>1305</w:t>
      </w:r>
      <w:r>
        <w:rPr>
          <w:snapToGrid w:val="0"/>
        </w:rPr>
        <w:t>/</w:t>
      </w:r>
      <w:r w:rsidR="008132BB">
        <w:rPr>
          <w:snapToGrid w:val="0"/>
        </w:rPr>
        <w:t>13</w:t>
      </w:r>
      <w:r>
        <w:rPr>
          <w:snapToGrid w:val="0"/>
        </w:rPr>
        <w:t>, art</w:t>
      </w:r>
      <w:r w:rsidR="002166A8">
        <w:rPr>
          <w:snapToGrid w:val="0"/>
        </w:rPr>
        <w:t>.</w:t>
      </w:r>
      <w:r>
        <w:rPr>
          <w:snapToGrid w:val="0"/>
        </w:rPr>
        <w:t xml:space="preserve"> </w:t>
      </w:r>
      <w:r w:rsidR="008132BB">
        <w:rPr>
          <w:snapToGrid w:val="0"/>
        </w:rPr>
        <w:t>62</w:t>
      </w:r>
      <w:r>
        <w:rPr>
          <w:snapToGrid w:val="0"/>
        </w:rPr>
        <w:t>, dispone che</w:t>
      </w:r>
      <w:r w:rsidR="00F05D28">
        <w:rPr>
          <w:snapToGrid w:val="0"/>
        </w:rPr>
        <w:t>:</w:t>
      </w:r>
    </w:p>
    <w:p w:rsidR="008132BB" w:rsidRPr="008132BB" w:rsidRDefault="00551BFF" w:rsidP="008132BB">
      <w:pPr>
        <w:spacing w:before="120"/>
        <w:ind w:right="126"/>
        <w:jc w:val="both"/>
        <w:rPr>
          <w:snapToGrid w:val="0"/>
        </w:rPr>
      </w:pPr>
      <w:r>
        <w:rPr>
          <w:snapToGrid w:val="0"/>
        </w:rPr>
        <w:t xml:space="preserve"> </w:t>
      </w:r>
      <w:r w:rsidR="008132BB">
        <w:rPr>
          <w:snapToGrid w:val="0"/>
        </w:rPr>
        <w:t>“</w:t>
      </w:r>
      <w:r w:rsidR="008132BB" w:rsidRPr="008132BB">
        <w:rPr>
          <w:snapToGrid w:val="0"/>
        </w:rPr>
        <w:t xml:space="preserve">1. </w:t>
      </w:r>
      <w:r w:rsidR="008132BB" w:rsidRPr="006D3394">
        <w:rPr>
          <w:i/>
          <w:snapToGrid w:val="0"/>
        </w:rPr>
        <w:t>Gli Stati membri garantiscono che tutte le misure di sviluppo rurale che intendono attuare siano verificabili e controllabili. A questo scopo l'autorità di gestione e l'organismo pagatore presentano una valutazione ex ante della verificabilità e controllabilità delle misure che saranno inserite nel programma di sviluppo rurale. L'autorità di gestione e l'organismo pagatore valutano la verificabilità e controllabilità delle misure anche nel corso dell'attuazione del programma di sviluppo rurale. La valutazione ex ante e la valutazione in itinere prendono in considerazione i risultati dei controlli effettuati nel precedente e nell'attuale periodo di programmazione. Se dalla valutazione risulta che i requisiti di verificabilità e controllabilità non sono soddisfatti, le misure interessate sono riviste in conseguenza</w:t>
      </w:r>
      <w:r w:rsidR="008132BB">
        <w:rPr>
          <w:snapToGrid w:val="0"/>
        </w:rPr>
        <w:t>”</w:t>
      </w:r>
      <w:r w:rsidR="008132BB" w:rsidRPr="008132BB">
        <w:rPr>
          <w:snapToGrid w:val="0"/>
        </w:rPr>
        <w:t>.</w:t>
      </w:r>
    </w:p>
    <w:p w:rsidR="008132BB" w:rsidRDefault="008132BB" w:rsidP="008132BB">
      <w:pPr>
        <w:spacing w:before="120"/>
        <w:ind w:right="126"/>
        <w:jc w:val="both"/>
        <w:rPr>
          <w:snapToGrid w:val="0"/>
        </w:rPr>
      </w:pPr>
      <w:r>
        <w:rPr>
          <w:snapToGrid w:val="0"/>
        </w:rPr>
        <w:t>“</w:t>
      </w:r>
      <w:r w:rsidRPr="008132BB">
        <w:rPr>
          <w:snapToGrid w:val="0"/>
        </w:rPr>
        <w:t>2</w:t>
      </w:r>
      <w:r w:rsidRPr="006D3394">
        <w:rPr>
          <w:i/>
          <w:snapToGrid w:val="0"/>
        </w:rPr>
        <w:t>. Se l'aiuto è concesso sulla base dei costi standard o dei costi aggiuntivi e del mancato guadagno, gli Stati membri garantiscono che tali elementi siano predeterminati in base a parametri esatti e adeguati e mediante un calcolo giusto, equo e verificabile. A questo scopo, un organismo dotato della necessaria perizia e funzionalmente indipendente dalle autorità competenti per l'attuazione del programma effettua i calcoli o conferma l'esattezza e l'adeguatezza degli stessi. Una dichiarazione attestante l'esattezza e l'adeguatezza dei calcoli è acclusa al programma di sviluppo rurale</w:t>
      </w:r>
      <w:r w:rsidRPr="008132BB">
        <w:rPr>
          <w:snapToGrid w:val="0"/>
        </w:rPr>
        <w:t>.</w:t>
      </w:r>
      <w:r w:rsidR="003F23C3">
        <w:rPr>
          <w:snapToGrid w:val="0"/>
        </w:rPr>
        <w:t>”</w:t>
      </w:r>
    </w:p>
    <w:p w:rsidR="00551BFF" w:rsidRDefault="00551BFF" w:rsidP="00273BE4">
      <w:pPr>
        <w:spacing w:before="120"/>
        <w:ind w:right="126"/>
        <w:jc w:val="both"/>
        <w:rPr>
          <w:snapToGrid w:val="0"/>
        </w:rPr>
      </w:pPr>
    </w:p>
    <w:p w:rsidR="009D0C70" w:rsidRDefault="003532E2" w:rsidP="00273BE4">
      <w:pPr>
        <w:pStyle w:val="Titolo2"/>
        <w:tabs>
          <w:tab w:val="left" w:pos="720"/>
        </w:tabs>
        <w:ind w:left="720" w:right="126" w:hanging="720"/>
        <w:rPr>
          <w:snapToGrid w:val="0"/>
        </w:rPr>
      </w:pPr>
      <w:bookmarkStart w:id="8" w:name="_Toc432090701"/>
      <w:r>
        <w:rPr>
          <w:snapToGrid w:val="0"/>
        </w:rPr>
        <w:t>2</w:t>
      </w:r>
      <w:r w:rsidR="00417386">
        <w:rPr>
          <w:snapToGrid w:val="0"/>
        </w:rPr>
        <w:t xml:space="preserve">.4 </w:t>
      </w:r>
      <w:r w:rsidR="00361E2D">
        <w:rPr>
          <w:snapToGrid w:val="0"/>
        </w:rPr>
        <w:tab/>
      </w:r>
      <w:r w:rsidR="00417386">
        <w:rPr>
          <w:snapToGrid w:val="0"/>
        </w:rPr>
        <w:t>L</w:t>
      </w:r>
      <w:r w:rsidR="009D0C70" w:rsidRPr="00FA6033">
        <w:rPr>
          <w:snapToGrid w:val="0"/>
        </w:rPr>
        <w:t>egittim</w:t>
      </w:r>
      <w:r w:rsidR="00417386">
        <w:rPr>
          <w:snapToGrid w:val="0"/>
        </w:rPr>
        <w:t xml:space="preserve">ità </w:t>
      </w:r>
      <w:r w:rsidR="009D0C70" w:rsidRPr="00FA6033">
        <w:rPr>
          <w:snapToGrid w:val="0"/>
        </w:rPr>
        <w:t>e</w:t>
      </w:r>
      <w:r w:rsidR="003C1DF1">
        <w:rPr>
          <w:snapToGrid w:val="0"/>
        </w:rPr>
        <w:t xml:space="preserve"> contabilizzazione</w:t>
      </w:r>
      <w:r w:rsidR="003D471E">
        <w:rPr>
          <w:snapToGrid w:val="0"/>
        </w:rPr>
        <w:t xml:space="preserve"> delle spese</w:t>
      </w:r>
      <w:bookmarkEnd w:id="8"/>
    </w:p>
    <w:p w:rsidR="008A0B07" w:rsidRDefault="008A0B07" w:rsidP="00273BE4">
      <w:pPr>
        <w:spacing w:before="120"/>
        <w:ind w:right="126"/>
        <w:jc w:val="both"/>
        <w:rPr>
          <w:snapToGrid w:val="0"/>
        </w:rPr>
      </w:pPr>
    </w:p>
    <w:p w:rsidR="0062074F" w:rsidRDefault="008D2727" w:rsidP="0034258D">
      <w:pPr>
        <w:ind w:right="126"/>
        <w:jc w:val="both"/>
        <w:rPr>
          <w:snapToGrid w:val="0"/>
        </w:rPr>
      </w:pPr>
      <w:r>
        <w:rPr>
          <w:snapToGrid w:val="0"/>
        </w:rPr>
        <w:t xml:space="preserve">Sono </w:t>
      </w:r>
      <w:r w:rsidR="004A29DA" w:rsidRPr="00960BB5">
        <w:rPr>
          <w:snapToGrid w:val="0"/>
        </w:rPr>
        <w:t>ammissibili</w:t>
      </w:r>
      <w:r w:rsidR="001B7987">
        <w:rPr>
          <w:snapToGrid w:val="0"/>
        </w:rPr>
        <w:t xml:space="preserve"> </w:t>
      </w:r>
      <w:r w:rsidR="004A29DA" w:rsidRPr="00960BB5">
        <w:rPr>
          <w:snapToGrid w:val="0"/>
        </w:rPr>
        <w:t>i costi effettivam</w:t>
      </w:r>
      <w:r w:rsidR="00AB7128">
        <w:rPr>
          <w:snapToGrid w:val="0"/>
        </w:rPr>
        <w:t>ente sostenuti dal beneficiario</w:t>
      </w:r>
      <w:r w:rsidR="004A29DA" w:rsidRPr="00960BB5">
        <w:rPr>
          <w:snapToGrid w:val="0"/>
        </w:rPr>
        <w:t xml:space="preserve"> che </w:t>
      </w:r>
      <w:r w:rsidR="004A29DA">
        <w:rPr>
          <w:snapToGrid w:val="0"/>
        </w:rPr>
        <w:t>s</w:t>
      </w:r>
      <w:r w:rsidR="004A29DA" w:rsidRPr="00960BB5">
        <w:rPr>
          <w:snapToGrid w:val="0"/>
        </w:rPr>
        <w:t>on</w:t>
      </w:r>
      <w:r w:rsidR="0088766B">
        <w:rPr>
          <w:snapToGrid w:val="0"/>
        </w:rPr>
        <w:t>o identificabili e verificabili;</w:t>
      </w:r>
      <w:r w:rsidR="004A29DA" w:rsidRPr="00960BB5">
        <w:rPr>
          <w:snapToGrid w:val="0"/>
        </w:rPr>
        <w:t xml:space="preserve"> in particolare</w:t>
      </w:r>
      <w:r w:rsidR="0088766B">
        <w:rPr>
          <w:snapToGrid w:val="0"/>
        </w:rPr>
        <w:t>,</w:t>
      </w:r>
      <w:r w:rsidR="004A29DA" w:rsidRPr="00960BB5">
        <w:rPr>
          <w:snapToGrid w:val="0"/>
        </w:rPr>
        <w:t xml:space="preserve"> sono iscritti nei registri contabili del beneficiario e sono determinati secondo i principi contabili vigenti secondo le consuete pratiche co</w:t>
      </w:r>
      <w:r w:rsidR="004A29DA">
        <w:rPr>
          <w:snapToGrid w:val="0"/>
        </w:rPr>
        <w:t>ntabili adottate del beneficiario stesso.</w:t>
      </w:r>
    </w:p>
    <w:p w:rsidR="00E412B4" w:rsidRPr="00E86176" w:rsidRDefault="00360F5F" w:rsidP="002F1803">
      <w:pPr>
        <w:spacing w:before="120"/>
        <w:ind w:right="125"/>
        <w:jc w:val="both"/>
        <w:rPr>
          <w:snapToGrid w:val="0"/>
        </w:rPr>
      </w:pPr>
      <w:r>
        <w:rPr>
          <w:snapToGrid w:val="0"/>
        </w:rPr>
        <w:t>Una spesa, p</w:t>
      </w:r>
      <w:r w:rsidR="009D0C70" w:rsidRPr="00A22B8F">
        <w:rPr>
          <w:snapToGrid w:val="0"/>
        </w:rPr>
        <w:t xml:space="preserve">er essere </w:t>
      </w:r>
      <w:r w:rsidRPr="00A22B8F">
        <w:rPr>
          <w:snapToGrid w:val="0"/>
        </w:rPr>
        <w:t>considerat</w:t>
      </w:r>
      <w:r>
        <w:rPr>
          <w:snapToGrid w:val="0"/>
        </w:rPr>
        <w:t>a</w:t>
      </w:r>
      <w:r w:rsidRPr="00A22B8F">
        <w:rPr>
          <w:snapToGrid w:val="0"/>
        </w:rPr>
        <w:t xml:space="preserve"> ammissibil</w:t>
      </w:r>
      <w:r>
        <w:rPr>
          <w:snapToGrid w:val="0"/>
        </w:rPr>
        <w:t>e</w:t>
      </w:r>
      <w:r w:rsidR="009D0C70" w:rsidRPr="00A22B8F">
        <w:rPr>
          <w:snapToGrid w:val="0"/>
        </w:rPr>
        <w:t xml:space="preserve">, </w:t>
      </w:r>
      <w:r>
        <w:rPr>
          <w:snapToGrid w:val="0"/>
        </w:rPr>
        <w:t xml:space="preserve">oltre ad essere riferita ad operazioni individuate </w:t>
      </w:r>
      <w:r w:rsidRPr="000716F4">
        <w:rPr>
          <w:snapToGrid w:val="0"/>
        </w:rPr>
        <w:t xml:space="preserve">sulla base dei criteri di selezione </w:t>
      </w:r>
      <w:r w:rsidR="004D5E0C">
        <w:rPr>
          <w:snapToGrid w:val="0"/>
        </w:rPr>
        <w:t>esaminati</w:t>
      </w:r>
      <w:r w:rsidR="004D5E0C" w:rsidRPr="000716F4">
        <w:rPr>
          <w:snapToGrid w:val="0"/>
        </w:rPr>
        <w:t xml:space="preserve"> </w:t>
      </w:r>
      <w:r w:rsidR="00716DAA" w:rsidRPr="000716F4">
        <w:rPr>
          <w:snapToGrid w:val="0"/>
        </w:rPr>
        <w:t>d</w:t>
      </w:r>
      <w:r w:rsidR="003928BC">
        <w:rPr>
          <w:snapToGrid w:val="0"/>
        </w:rPr>
        <w:t xml:space="preserve">al </w:t>
      </w:r>
      <w:r w:rsidR="00627519" w:rsidRPr="000716F4">
        <w:rPr>
          <w:snapToGrid w:val="0"/>
        </w:rPr>
        <w:t>comitato di sorveglianza</w:t>
      </w:r>
      <w:r w:rsidRPr="000716F4">
        <w:rPr>
          <w:snapToGrid w:val="0"/>
        </w:rPr>
        <w:t>,</w:t>
      </w:r>
      <w:r w:rsidR="009D0C70" w:rsidRPr="000716F4">
        <w:rPr>
          <w:snapToGrid w:val="0"/>
        </w:rPr>
        <w:t xml:space="preserve"> </w:t>
      </w:r>
      <w:r w:rsidRPr="000716F4">
        <w:rPr>
          <w:snapToGrid w:val="0"/>
        </w:rPr>
        <w:t xml:space="preserve">deve </w:t>
      </w:r>
      <w:r w:rsidR="009D0C70" w:rsidRPr="000716F4">
        <w:rPr>
          <w:snapToGrid w:val="0"/>
        </w:rPr>
        <w:t>essere</w:t>
      </w:r>
      <w:r w:rsidR="0024392A" w:rsidRPr="00716DAA">
        <w:rPr>
          <w:snapToGrid w:val="0"/>
        </w:rPr>
        <w:t xml:space="preserve"> </w:t>
      </w:r>
      <w:r w:rsidR="0062074F">
        <w:rPr>
          <w:snapToGrid w:val="0"/>
        </w:rPr>
        <w:t xml:space="preserve">eseguita nel </w:t>
      </w:r>
      <w:r w:rsidR="0062074F">
        <w:rPr>
          <w:snapToGrid w:val="0"/>
        </w:rPr>
        <w:lastRenderedPageBreak/>
        <w:t>rispetto de</w:t>
      </w:r>
      <w:r w:rsidR="00417386" w:rsidRPr="00716DAA">
        <w:rPr>
          <w:snapToGrid w:val="0"/>
        </w:rPr>
        <w:t>lla</w:t>
      </w:r>
      <w:r w:rsidR="00417386" w:rsidRPr="00A22B8F">
        <w:rPr>
          <w:snapToGrid w:val="0"/>
        </w:rPr>
        <w:t xml:space="preserve"> normativa </w:t>
      </w:r>
      <w:r w:rsidR="00361E2D" w:rsidRPr="00A22B8F">
        <w:rPr>
          <w:snapToGrid w:val="0"/>
        </w:rPr>
        <w:t>comunitaria</w:t>
      </w:r>
      <w:r w:rsidR="009B7510">
        <w:rPr>
          <w:snapToGrid w:val="0"/>
        </w:rPr>
        <w:t xml:space="preserve"> e nazionale applicabile all’operazione considerata</w:t>
      </w:r>
      <w:r w:rsidR="00421322">
        <w:rPr>
          <w:snapToGrid w:val="0"/>
        </w:rPr>
        <w:t>.</w:t>
      </w:r>
      <w:r w:rsidR="0034258D" w:rsidRPr="0034258D">
        <w:t xml:space="preserve"> </w:t>
      </w:r>
      <w:r w:rsidR="0034258D">
        <w:t>In conformità con l’articolo 66 del Reg. Ue n. 1305/13, è necessario che i beneficiari del contributo “</w:t>
      </w:r>
      <w:r w:rsidR="0034258D" w:rsidRPr="0034258D">
        <w:rPr>
          <w:i/>
          <w:snapToGrid w:val="0"/>
        </w:rPr>
        <w:t>adoperino un sistema contabile distinto o un apposito codice contabile per tutte le transazioni relative</w:t>
      </w:r>
      <w:r w:rsidR="004A29DA">
        <w:rPr>
          <w:i/>
          <w:snapToGrid w:val="0"/>
        </w:rPr>
        <w:t xml:space="preserve"> </w:t>
      </w:r>
      <w:r w:rsidR="0034258D" w:rsidRPr="0034258D">
        <w:rPr>
          <w:i/>
          <w:snapToGrid w:val="0"/>
        </w:rPr>
        <w:t>all'intervento</w:t>
      </w:r>
      <w:r w:rsidR="0034258D">
        <w:rPr>
          <w:snapToGrid w:val="0"/>
        </w:rPr>
        <w:t>”</w:t>
      </w:r>
      <w:r w:rsidR="008C6A1E" w:rsidRPr="00547C60">
        <w:rPr>
          <w:snapToGrid w:val="0"/>
        </w:rPr>
        <w:t xml:space="preserve"> </w:t>
      </w:r>
      <w:r w:rsidR="00E86176" w:rsidRPr="00E86176">
        <w:rPr>
          <w:snapToGrid w:val="0"/>
        </w:rPr>
        <w:t>secondo le disposizioni in materia impartite dall’Autorità di gestione</w:t>
      </w:r>
      <w:r w:rsidR="0034258D" w:rsidRPr="00E86176">
        <w:rPr>
          <w:snapToGrid w:val="0"/>
        </w:rPr>
        <w:t>.</w:t>
      </w:r>
    </w:p>
    <w:p w:rsidR="003D471E" w:rsidRDefault="003D471E" w:rsidP="003D471E">
      <w:pPr>
        <w:spacing w:before="120"/>
        <w:ind w:right="126"/>
        <w:jc w:val="both"/>
        <w:rPr>
          <w:snapToGrid w:val="0"/>
        </w:rPr>
      </w:pPr>
      <w:r>
        <w:rPr>
          <w:snapToGrid w:val="0"/>
        </w:rPr>
        <w:t xml:space="preserve">Le spese ammissibili a contributo sono quelle effettivamente </w:t>
      </w:r>
      <w:r w:rsidR="004200B8">
        <w:rPr>
          <w:snapToGrid w:val="0"/>
        </w:rPr>
        <w:t xml:space="preserve">ed integralmente </w:t>
      </w:r>
      <w:r>
        <w:rPr>
          <w:snapToGrid w:val="0"/>
        </w:rPr>
        <w:t xml:space="preserve">sostenute dal beneficiario finale, e devono corrispondere a “pagamenti effettuati”, </w:t>
      </w:r>
      <w:r w:rsidRPr="0070018D">
        <w:rPr>
          <w:snapToGrid w:val="0"/>
        </w:rPr>
        <w:t xml:space="preserve">comprovati </w:t>
      </w:r>
      <w:r>
        <w:rPr>
          <w:snapToGrid w:val="0"/>
        </w:rPr>
        <w:t xml:space="preserve">da fatture e, ove ciò non sia possibile, da documenti contabili aventi forza probante equivalente. </w:t>
      </w:r>
    </w:p>
    <w:p w:rsidR="00A3179F" w:rsidRDefault="00A3179F" w:rsidP="003D471E">
      <w:pPr>
        <w:spacing w:before="120"/>
        <w:ind w:right="126"/>
        <w:jc w:val="both"/>
        <w:rPr>
          <w:snapToGrid w:val="0"/>
        </w:rPr>
      </w:pPr>
      <w:r>
        <w:t>Li</w:t>
      </w:r>
      <w:r w:rsidR="00CC4055">
        <w:t>mitatamente alla</w:t>
      </w:r>
      <w:r w:rsidR="00B24C36">
        <w:t xml:space="preserve"> sottomisura 7.3</w:t>
      </w:r>
      <w:r>
        <w:t>, ove il beneficiario finale sia identificato in una Pubblica Amministrazione, nella fase di liquidazione dei pagamenti a titolo di SAL o di saldo, la</w:t>
      </w:r>
      <w:r w:rsidR="00BA4E0C">
        <w:t xml:space="preserve"> stessa</w:t>
      </w:r>
      <w:r>
        <w:t xml:space="preserve"> può rendicontare, ai fini del riconoscimento della spesa, le spese sostenute e pagate dalla propria società “in house” che ha attuato l'intervento, fermo restando la proprietà delle infrastrutture in capo alla Regione/Provincia Autonoma</w:t>
      </w:r>
    </w:p>
    <w:p w:rsidR="003D471E" w:rsidRDefault="003D471E" w:rsidP="003D471E">
      <w:pPr>
        <w:spacing w:before="120"/>
        <w:ind w:right="126"/>
        <w:jc w:val="both"/>
        <w:rPr>
          <w:snapToGrid w:val="0"/>
        </w:rPr>
      </w:pPr>
      <w:r>
        <w:rPr>
          <w:snapToGrid w:val="0"/>
        </w:rPr>
        <w:t>Per documento contabile avente forza probante equivalente si intende, nei casi in cui le norme fiscali contabili non rendano pertinente l’emissione di fattura, ogni documento comprovante che la scrittura contabile rifletta fedelmente la realtà, in conformità alla normativa vigente in materia di contabilità.</w:t>
      </w:r>
    </w:p>
    <w:p w:rsidR="003D471E" w:rsidRDefault="003D471E" w:rsidP="003D471E">
      <w:pPr>
        <w:spacing w:before="120"/>
        <w:ind w:right="126"/>
        <w:jc w:val="both"/>
        <w:rPr>
          <w:snapToGrid w:val="0"/>
        </w:rPr>
      </w:pPr>
      <w:r>
        <w:rPr>
          <w:snapToGrid w:val="0"/>
        </w:rPr>
        <w:t xml:space="preserve">Si rammenta, tuttavia, che la normativa dell’Unione europea non prevede esclusivamente la determinazione del sostegno a fronte della presentazione di fatture o di documenti </w:t>
      </w:r>
      <w:r w:rsidR="001D4F0A">
        <w:rPr>
          <w:snapToGrid w:val="0"/>
        </w:rPr>
        <w:t>probatori equivalenti. Infatti, secondo quanto previsto da</w:t>
      </w:r>
      <w:r>
        <w:rPr>
          <w:snapToGrid w:val="0"/>
        </w:rPr>
        <w:t>ll’art</w:t>
      </w:r>
      <w:r w:rsidR="0049780F">
        <w:rPr>
          <w:snapToGrid w:val="0"/>
        </w:rPr>
        <w:t>.</w:t>
      </w:r>
      <w:r>
        <w:rPr>
          <w:snapToGrid w:val="0"/>
        </w:rPr>
        <w:t xml:space="preserve"> 67 del Reg. (UE) n. 1303/2013 è possibile, in determinati casi, che il sostegno si</w:t>
      </w:r>
      <w:r w:rsidR="001D4F0A">
        <w:rPr>
          <w:snapToGrid w:val="0"/>
        </w:rPr>
        <w:t>a fissato in base a tabelle standard di cos</w:t>
      </w:r>
      <w:r w:rsidR="002434ED">
        <w:rPr>
          <w:snapToGrid w:val="0"/>
        </w:rPr>
        <w:t xml:space="preserve">ti unitari, somme forfettarie, </w:t>
      </w:r>
      <w:r w:rsidR="001D4F0A">
        <w:rPr>
          <w:snapToGrid w:val="0"/>
        </w:rPr>
        <w:t>finanziamento a tasso forfettario</w:t>
      </w:r>
      <w:r>
        <w:rPr>
          <w:snapToGrid w:val="0"/>
        </w:rPr>
        <w:t xml:space="preserve"> oppure in base a contributi che vengono conferiti in natura da parte dei beneficiari. </w:t>
      </w:r>
    </w:p>
    <w:p w:rsidR="00BF524D" w:rsidRPr="001D4F0A" w:rsidRDefault="003D471E" w:rsidP="001D4F0A">
      <w:pPr>
        <w:spacing w:before="120"/>
        <w:ind w:right="126"/>
        <w:jc w:val="both"/>
        <w:rPr>
          <w:snapToGrid w:val="0"/>
        </w:rPr>
      </w:pPr>
      <w:r>
        <w:rPr>
          <w:snapToGrid w:val="0"/>
        </w:rPr>
        <w:t xml:space="preserve">In tali casi, quanto previsto dal presente paragrafo va parametrato alle specifiche </w:t>
      </w:r>
      <w:r w:rsidRPr="006717A2">
        <w:rPr>
          <w:snapToGrid w:val="0"/>
        </w:rPr>
        <w:t>disposizioni normative appl</w:t>
      </w:r>
      <w:r w:rsidR="003C7736">
        <w:rPr>
          <w:snapToGrid w:val="0"/>
        </w:rPr>
        <w:t>icabili</w:t>
      </w:r>
      <w:r w:rsidR="00BF524D">
        <w:rPr>
          <w:snapToGrid w:val="0"/>
        </w:rPr>
        <w:t>,</w:t>
      </w:r>
      <w:r w:rsidR="003C7736">
        <w:rPr>
          <w:snapToGrid w:val="0"/>
        </w:rPr>
        <w:t xml:space="preserve"> così come descritto nei</w:t>
      </w:r>
      <w:r w:rsidR="001D4F0A">
        <w:rPr>
          <w:snapToGrid w:val="0"/>
        </w:rPr>
        <w:t xml:space="preserve"> successivi punti</w:t>
      </w:r>
      <w:r w:rsidR="003532E2" w:rsidRPr="006717A2">
        <w:rPr>
          <w:snapToGrid w:val="0"/>
        </w:rPr>
        <w:t xml:space="preserve"> </w:t>
      </w:r>
      <w:r w:rsidR="001D4F0A">
        <w:rPr>
          <w:snapToGrid w:val="0"/>
        </w:rPr>
        <w:t xml:space="preserve">3.7 “Fornitura di beni e servizi senza pagamento in denaro” e 3.8 </w:t>
      </w:r>
      <w:r w:rsidR="003532E2" w:rsidRPr="006717A2">
        <w:rPr>
          <w:snapToGrid w:val="0"/>
        </w:rPr>
        <w:t>“Costi sem</w:t>
      </w:r>
      <w:r w:rsidR="001D4F0A">
        <w:rPr>
          <w:snapToGrid w:val="0"/>
        </w:rPr>
        <w:t>plificati.</w:t>
      </w:r>
    </w:p>
    <w:p w:rsidR="008A0B07" w:rsidRPr="0088766B" w:rsidRDefault="005F36E5" w:rsidP="0088766B">
      <w:pPr>
        <w:pStyle w:val="Titolo"/>
        <w:tabs>
          <w:tab w:val="left" w:pos="720"/>
        </w:tabs>
        <w:ind w:left="360" w:right="126"/>
        <w:jc w:val="both"/>
      </w:pPr>
      <w:bookmarkStart w:id="9" w:name="_Toc432090702"/>
      <w:r>
        <w:t xml:space="preserve">3. </w:t>
      </w:r>
      <w:r w:rsidR="00D95DD9">
        <w:t xml:space="preserve">CONDIZIONI DI AMMISSIBILITA’ DI </w:t>
      </w:r>
      <w:r w:rsidR="00417386">
        <w:t xml:space="preserve">ALCUNE TIPOLOGIE </w:t>
      </w:r>
      <w:r w:rsidR="00D95DD9">
        <w:t>DI SPESA</w:t>
      </w:r>
      <w:bookmarkEnd w:id="9"/>
    </w:p>
    <w:p w:rsidR="008A0B07" w:rsidRPr="0088766B" w:rsidRDefault="00417386" w:rsidP="0088766B">
      <w:pPr>
        <w:pStyle w:val="Titolo2"/>
        <w:ind w:right="126"/>
      </w:pPr>
      <w:bookmarkStart w:id="10" w:name="_Toc432090703"/>
      <w:r w:rsidRPr="007E6873">
        <w:t>Premessa</w:t>
      </w:r>
      <w:bookmarkEnd w:id="10"/>
    </w:p>
    <w:p w:rsidR="00907526" w:rsidRPr="007E6873" w:rsidRDefault="007E6873" w:rsidP="00273BE4">
      <w:pPr>
        <w:spacing w:before="120"/>
        <w:ind w:right="126"/>
        <w:jc w:val="both"/>
      </w:pPr>
      <w:r w:rsidRPr="007E6873">
        <w:t xml:space="preserve">In questo capitolo </w:t>
      </w:r>
      <w:r w:rsidR="00F53ECE" w:rsidRPr="007E6873">
        <w:t xml:space="preserve">sono </w:t>
      </w:r>
      <w:r w:rsidR="00907526" w:rsidRPr="007E6873">
        <w:t xml:space="preserve">prese in considerazione </w:t>
      </w:r>
      <w:r w:rsidR="00654401">
        <w:t>le</w:t>
      </w:r>
      <w:r w:rsidR="00907526" w:rsidRPr="007E6873">
        <w:t xml:space="preserve"> fattispecie di spesa sottoposte dalla normativa comunitaria a regole specifiche di ammissibilità</w:t>
      </w:r>
      <w:r w:rsidR="008F7E30" w:rsidRPr="007E6873">
        <w:t>.</w:t>
      </w:r>
    </w:p>
    <w:p w:rsidR="008F7E30" w:rsidRPr="007E6873" w:rsidRDefault="008F7E30" w:rsidP="00273BE4">
      <w:pPr>
        <w:spacing w:before="120"/>
        <w:ind w:right="126"/>
        <w:jc w:val="both"/>
      </w:pPr>
      <w:r w:rsidRPr="007E6873">
        <w:t xml:space="preserve">In particolare, si tratta di regole che vincolano l’ammissibilità al cofinanziamento comunitario di determinate tipologie di spesa al rispetto di “limiti” o “condizioni” </w:t>
      </w:r>
      <w:r w:rsidR="00654401">
        <w:t xml:space="preserve">già </w:t>
      </w:r>
      <w:r w:rsidRPr="007E6873">
        <w:t>stabiliti</w:t>
      </w:r>
      <w:r w:rsidR="0010209C">
        <w:t xml:space="preserve"> dalla normativa di riferimento</w:t>
      </w:r>
      <w:r w:rsidRPr="007E6873">
        <w:t>.</w:t>
      </w:r>
    </w:p>
    <w:p w:rsidR="008F7E30" w:rsidRDefault="008F7E30" w:rsidP="00EF54EA">
      <w:pPr>
        <w:spacing w:before="120"/>
        <w:ind w:right="126"/>
        <w:jc w:val="both"/>
      </w:pPr>
      <w:r w:rsidRPr="007E6873">
        <w:t>In altri termini, una s</w:t>
      </w:r>
      <w:r w:rsidR="0010209C">
        <w:t>p</w:t>
      </w:r>
      <w:r w:rsidRPr="007E6873">
        <w:t>esa riferibile a</w:t>
      </w:r>
      <w:r w:rsidR="00716A0D" w:rsidRPr="007E6873">
        <w:t>d una</w:t>
      </w:r>
      <w:r w:rsidRPr="007E6873">
        <w:t xml:space="preserve"> determinata fattispecie</w:t>
      </w:r>
      <w:r w:rsidR="00040A3B" w:rsidRPr="007E6873">
        <w:t>,</w:t>
      </w:r>
      <w:r w:rsidRPr="007E6873">
        <w:t xml:space="preserve"> per risultare ammissibile</w:t>
      </w:r>
      <w:r w:rsidR="00040A3B" w:rsidRPr="007E6873">
        <w:t>,</w:t>
      </w:r>
      <w:r w:rsidRPr="007E6873">
        <w:t xml:space="preserve"> deve </w:t>
      </w:r>
      <w:r w:rsidR="00837781" w:rsidRPr="007E6873">
        <w:t>essere</w:t>
      </w:r>
      <w:r w:rsidRPr="007E6873">
        <w:t xml:space="preserve"> </w:t>
      </w:r>
      <w:r w:rsidR="00F72A57">
        <w:t>non solo conforme</w:t>
      </w:r>
      <w:r w:rsidRPr="007E6873">
        <w:t xml:space="preserve"> </w:t>
      </w:r>
      <w:r w:rsidR="00F72A57">
        <w:t>a</w:t>
      </w:r>
      <w:r w:rsidRPr="007E6873">
        <w:t>i principi generali dettagliati al capitolo precedente ma anche av</w:t>
      </w:r>
      <w:r w:rsidR="00E864B5" w:rsidRPr="007E6873">
        <w:t>er ass</w:t>
      </w:r>
      <w:r w:rsidRPr="007E6873">
        <w:t>olto l</w:t>
      </w:r>
      <w:r w:rsidR="00040A3B" w:rsidRPr="007E6873">
        <w:t>e condizioni ed essere contenuta</w:t>
      </w:r>
      <w:r w:rsidRPr="007E6873">
        <w:t xml:space="preserve"> nei limiti stabiliti dalla </w:t>
      </w:r>
      <w:r w:rsidR="00F53ECE" w:rsidRPr="007E6873">
        <w:t xml:space="preserve">specifica </w:t>
      </w:r>
      <w:r w:rsidRPr="007E6873">
        <w:t>normativa comunitaria</w:t>
      </w:r>
      <w:r w:rsidR="00E864B5" w:rsidRPr="007E6873">
        <w:t xml:space="preserve"> </w:t>
      </w:r>
      <w:r w:rsidRPr="007E6873">
        <w:t>ad essa riferibile.</w:t>
      </w:r>
    </w:p>
    <w:p w:rsidR="00E93D22" w:rsidRDefault="00E93D22" w:rsidP="00D66FEC">
      <w:pPr>
        <w:spacing w:before="120"/>
        <w:ind w:right="126"/>
        <w:jc w:val="both"/>
      </w:pPr>
      <w:r w:rsidRPr="00EF54EA">
        <w:t xml:space="preserve">In merito </w:t>
      </w:r>
      <w:r w:rsidRPr="00357505">
        <w:t>al sostegno per gli</w:t>
      </w:r>
      <w:r w:rsidR="0065341D" w:rsidRPr="00B34DCA">
        <w:t xml:space="preserve"> investimenti</w:t>
      </w:r>
      <w:r w:rsidRPr="00B34DCA">
        <w:t>, inoltre, occorr</w:t>
      </w:r>
      <w:r w:rsidRPr="004B528E">
        <w:t>e fare alcune precisazioni. L</w:t>
      </w:r>
      <w:r w:rsidR="0065341D" w:rsidRPr="00F00770">
        <w:t xml:space="preserve">a normativa </w:t>
      </w:r>
      <w:r w:rsidR="001B554E">
        <w:t>dell’Unione europea</w:t>
      </w:r>
      <w:r w:rsidR="0065341D" w:rsidRPr="00357505">
        <w:t xml:space="preserve"> per lo sviluppo rurale non prevede una definizione di investimento. </w:t>
      </w:r>
      <w:r w:rsidR="0065341D" w:rsidRPr="00B34DCA">
        <w:t>Tuttavia attraverso un esame del contenuto della misure inserite nel Re</w:t>
      </w:r>
      <w:r w:rsidR="00931139" w:rsidRPr="00B34DCA">
        <w:t xml:space="preserve">g. </w:t>
      </w:r>
      <w:r w:rsidR="00DB5D7E">
        <w:t>(</w:t>
      </w:r>
      <w:r w:rsidR="002D36C5">
        <w:t>U</w:t>
      </w:r>
      <w:r w:rsidR="001B554E">
        <w:t>E</w:t>
      </w:r>
      <w:r w:rsidR="00DB5D7E">
        <w:t>)</w:t>
      </w:r>
      <w:r w:rsidR="00931139" w:rsidRPr="00357505">
        <w:t xml:space="preserve"> n. </w:t>
      </w:r>
      <w:r w:rsidR="002D36C5">
        <w:t>1305/</w:t>
      </w:r>
      <w:r w:rsidR="0088191D">
        <w:t>20</w:t>
      </w:r>
      <w:r w:rsidR="002D36C5">
        <w:t>13</w:t>
      </w:r>
      <w:r w:rsidR="0065341D" w:rsidRPr="00357505">
        <w:t xml:space="preserve">, è possibile ricostruire un quadro sinottico che </w:t>
      </w:r>
      <w:r w:rsidR="0065341D" w:rsidRPr="00B34DCA">
        <w:t>possa essere utilizzat</w:t>
      </w:r>
      <w:r w:rsidR="00763D77" w:rsidRPr="00B34DCA">
        <w:t>o</w:t>
      </w:r>
      <w:r w:rsidR="0065341D" w:rsidRPr="00B34DCA">
        <w:t xml:space="preserve"> ai fini della determinazione dell’ammissibilità delle spese nonché per l’individuazione della possibilità di conced</w:t>
      </w:r>
      <w:r w:rsidR="0065341D" w:rsidRPr="0010209C">
        <w:t xml:space="preserve">ere anticipi ai sensi </w:t>
      </w:r>
      <w:r w:rsidR="00C271A0" w:rsidRPr="0010209C">
        <w:t>de</w:t>
      </w:r>
      <w:r w:rsidR="0010209C" w:rsidRPr="0010209C">
        <w:t>l</w:t>
      </w:r>
      <w:r w:rsidR="00C271A0" w:rsidRPr="0010209C">
        <w:t>l</w:t>
      </w:r>
      <w:r w:rsidR="0010209C" w:rsidRPr="0010209C">
        <w:t>’art</w:t>
      </w:r>
      <w:r w:rsidR="0088191D">
        <w:t>.</w:t>
      </w:r>
      <w:r w:rsidR="0010209C" w:rsidRPr="0010209C">
        <w:t xml:space="preserve"> 45 del</w:t>
      </w:r>
      <w:r w:rsidR="00C271A0" w:rsidRPr="0010209C">
        <w:t xml:space="preserve"> Reg. (</w:t>
      </w:r>
      <w:r w:rsidR="008069BC" w:rsidRPr="0010209C">
        <w:t>U</w:t>
      </w:r>
      <w:r w:rsidR="00C271A0" w:rsidRPr="0010209C">
        <w:t>E) n. 1</w:t>
      </w:r>
      <w:r w:rsidR="008069BC" w:rsidRPr="0010209C">
        <w:t>305</w:t>
      </w:r>
      <w:r w:rsidR="00C271A0" w:rsidRPr="0010209C">
        <w:t>/20</w:t>
      </w:r>
      <w:r w:rsidR="008069BC" w:rsidRPr="0010209C">
        <w:t>13</w:t>
      </w:r>
      <w:r w:rsidR="0065341D" w:rsidRPr="0010209C">
        <w:t>. Tale quadro sinottico è riportato nell</w:t>
      </w:r>
      <w:r w:rsidR="0088191D">
        <w:t>’allegato</w:t>
      </w:r>
      <w:r w:rsidR="00C271A0" w:rsidRPr="0010209C">
        <w:t xml:space="preserve"> </w:t>
      </w:r>
      <w:r w:rsidR="00C14AFA">
        <w:t>1</w:t>
      </w:r>
      <w:r w:rsidR="0065341D" w:rsidRPr="0010209C">
        <w:t xml:space="preserve"> al presente documento.</w:t>
      </w:r>
    </w:p>
    <w:p w:rsidR="00D66FEC" w:rsidRDefault="00D66FEC" w:rsidP="00D66FEC">
      <w:pPr>
        <w:spacing w:before="120"/>
        <w:jc w:val="both"/>
      </w:pPr>
      <w:r w:rsidRPr="00A01342">
        <w:lastRenderedPageBreak/>
        <w:t>In ogni caso, sempreché siano conformi alle pertin</w:t>
      </w:r>
      <w:r w:rsidR="0046254B" w:rsidRPr="00A01342">
        <w:t>enti disposizioni regolamentari</w:t>
      </w:r>
      <w:r w:rsidRPr="00A01342">
        <w:t>, le spese ammissibili sono quelle previste nell’ambito delle singole schede di misura, sottomisura o operazione</w:t>
      </w:r>
      <w:r w:rsidR="0046254B" w:rsidRPr="00A01342">
        <w:t xml:space="preserve"> e relativo bando</w:t>
      </w:r>
      <w:r w:rsidRPr="00A01342">
        <w:t>.</w:t>
      </w:r>
    </w:p>
    <w:p w:rsidR="00E864B5" w:rsidRDefault="003532E2" w:rsidP="006472BD">
      <w:pPr>
        <w:pStyle w:val="Titolo2"/>
        <w:tabs>
          <w:tab w:val="left" w:pos="720"/>
        </w:tabs>
        <w:ind w:left="720" w:right="126" w:hanging="720"/>
      </w:pPr>
      <w:bookmarkStart w:id="11" w:name="_Toc432090704"/>
      <w:r>
        <w:t>3</w:t>
      </w:r>
      <w:r w:rsidR="0016079B">
        <w:t xml:space="preserve">.1 </w:t>
      </w:r>
      <w:r w:rsidR="00E864B5" w:rsidRPr="00A01F0F">
        <w:t xml:space="preserve"> </w:t>
      </w:r>
      <w:r w:rsidR="00F53ECE">
        <w:tab/>
      </w:r>
      <w:r w:rsidR="00EE5F50">
        <w:t>Costi d’i</w:t>
      </w:r>
      <w:r w:rsidR="00E864B5" w:rsidRPr="00417386">
        <w:t>nvestiment</w:t>
      </w:r>
      <w:r w:rsidR="00EE5F50">
        <w:t>o</w:t>
      </w:r>
      <w:r w:rsidR="00EA213D">
        <w:t xml:space="preserve"> materiali e immateriali</w:t>
      </w:r>
      <w:bookmarkEnd w:id="11"/>
    </w:p>
    <w:p w:rsidR="008A0B07" w:rsidRDefault="008A0B07" w:rsidP="00273BE4">
      <w:pPr>
        <w:spacing w:before="120"/>
        <w:ind w:right="126"/>
        <w:jc w:val="both"/>
      </w:pPr>
    </w:p>
    <w:p w:rsidR="00702569" w:rsidRDefault="00E84A5F" w:rsidP="00273BE4">
      <w:pPr>
        <w:spacing w:before="120"/>
        <w:ind w:right="126"/>
        <w:jc w:val="both"/>
      </w:pPr>
      <w:r>
        <w:t xml:space="preserve">Le </w:t>
      </w:r>
      <w:r w:rsidR="00F96461">
        <w:t>d</w:t>
      </w:r>
      <w:r w:rsidR="00481934">
        <w:t>isp</w:t>
      </w:r>
      <w:r w:rsidR="0010209C">
        <w:t>osizioni specifiche relative all’ammissibilità delle spese connesse agli</w:t>
      </w:r>
      <w:r w:rsidR="00481934">
        <w:t xml:space="preserve"> i</w:t>
      </w:r>
      <w:r w:rsidR="00F72A57">
        <w:t xml:space="preserve">nvestimenti </w:t>
      </w:r>
      <w:r w:rsidR="00481934">
        <w:t xml:space="preserve">sono contenute </w:t>
      </w:r>
      <w:r>
        <w:t>negli artt</w:t>
      </w:r>
      <w:r w:rsidR="004D5E0C">
        <w:t>.</w:t>
      </w:r>
      <w:r>
        <w:t xml:space="preserve"> 17 e</w:t>
      </w:r>
      <w:r w:rsidR="00F72A57">
        <w:t xml:space="preserve"> </w:t>
      </w:r>
      <w:r w:rsidR="0052372A">
        <w:t xml:space="preserve">45 </w:t>
      </w:r>
      <w:r w:rsidR="00F72A57">
        <w:t>del Reg. (</w:t>
      </w:r>
      <w:r w:rsidR="0052372A">
        <w:t>UE</w:t>
      </w:r>
      <w:r w:rsidR="00F72A57">
        <w:t xml:space="preserve">) n. </w:t>
      </w:r>
      <w:r w:rsidR="0052372A">
        <w:t>1305</w:t>
      </w:r>
      <w:r w:rsidR="00F72A57">
        <w:t>/20</w:t>
      </w:r>
      <w:r w:rsidR="0052372A">
        <w:t>13</w:t>
      </w:r>
      <w:r w:rsidR="005C7184">
        <w:t xml:space="preserve"> </w:t>
      </w:r>
      <w:r w:rsidRPr="00E84A5F">
        <w:t>e nell’art. 13 del Reg. delegato (UE) n. 807/2014.</w:t>
      </w:r>
      <w:r w:rsidR="00EA213D">
        <w:t xml:space="preserve"> </w:t>
      </w:r>
      <w:r w:rsidR="00702569">
        <w:t xml:space="preserve">Relativamente agli investimenti </w:t>
      </w:r>
      <w:r w:rsidR="0079486B">
        <w:t xml:space="preserve">sono ammissibili le seguenti </w:t>
      </w:r>
      <w:r w:rsidR="00702569">
        <w:t>voci</w:t>
      </w:r>
      <w:r w:rsidR="0079486B">
        <w:t xml:space="preserve"> di spesa</w:t>
      </w:r>
      <w:r w:rsidR="00702569">
        <w:t>:</w:t>
      </w:r>
    </w:p>
    <w:p w:rsidR="0052372A" w:rsidRDefault="0052372A" w:rsidP="00BE7ABC">
      <w:pPr>
        <w:numPr>
          <w:ilvl w:val="0"/>
          <w:numId w:val="50"/>
        </w:numPr>
        <w:spacing w:before="120"/>
        <w:ind w:right="126"/>
        <w:jc w:val="both"/>
      </w:pPr>
      <w:r>
        <w:t>costruzione, acquisizione, incluso il leasing, o miglioramento di beni immobili;</w:t>
      </w:r>
    </w:p>
    <w:p w:rsidR="0052372A" w:rsidRDefault="0052372A" w:rsidP="00BE7ABC">
      <w:pPr>
        <w:pStyle w:val="CM1"/>
        <w:numPr>
          <w:ilvl w:val="0"/>
          <w:numId w:val="50"/>
        </w:numPr>
        <w:spacing w:before="200" w:after="200"/>
        <w:rPr>
          <w:rFonts w:cs="EUAlbertina"/>
          <w:color w:val="000000"/>
        </w:rPr>
      </w:pPr>
      <w:r>
        <w:t>acquisto o leasing di nuovi macchinari e attrezzature fino a copertura del valore di mercato del bene;</w:t>
      </w:r>
      <w:r w:rsidRPr="0052372A">
        <w:rPr>
          <w:rFonts w:cs="EUAlbertina"/>
          <w:color w:val="000000"/>
        </w:rPr>
        <w:t xml:space="preserve"> </w:t>
      </w:r>
    </w:p>
    <w:p w:rsidR="008069BC" w:rsidRDefault="008069BC" w:rsidP="00BE7ABC">
      <w:pPr>
        <w:numPr>
          <w:ilvl w:val="0"/>
          <w:numId w:val="50"/>
        </w:numPr>
        <w:spacing w:before="120"/>
        <w:ind w:right="126"/>
        <w:jc w:val="both"/>
        <w:rPr>
          <w:rFonts w:ascii="EUAlbertina" w:hAnsi="EUAlbertina"/>
        </w:rPr>
      </w:pPr>
      <w:r w:rsidRPr="008069BC">
        <w:t>spese generali collegate alle spese di cui alle lettere a) e b), come onorari di architetti, ingegneri e consulenti, compensi per consulenze in materia di sostenibilità ambientale ed economica, inclusi studi di fattibilità. Gli studi di fattibilità rimangono spese ammissibili anche quando, in base ai loro risultati, non sono effettuate spese a titolo delle lettere a) e b);</w:t>
      </w:r>
      <w:r w:rsidRPr="008069BC" w:rsidDel="008069BC">
        <w:t xml:space="preserve"> </w:t>
      </w:r>
    </w:p>
    <w:p w:rsidR="008069BC" w:rsidRDefault="0052372A" w:rsidP="00BE7ABC">
      <w:pPr>
        <w:numPr>
          <w:ilvl w:val="0"/>
          <w:numId w:val="50"/>
        </w:numPr>
        <w:spacing w:before="120"/>
        <w:ind w:right="126"/>
        <w:jc w:val="both"/>
      </w:pPr>
      <w:r w:rsidRPr="008069BC">
        <w:t>i seguenti investimenti immateriali: acquisizione o sviluppo di programmi informatici e acquisizione di brevetti, licenze, diritti d'autore, marchi commerciali;</w:t>
      </w:r>
      <w:r w:rsidRPr="0052372A">
        <w:t xml:space="preserve"> </w:t>
      </w:r>
    </w:p>
    <w:p w:rsidR="0052372A" w:rsidRDefault="0052372A" w:rsidP="00BE7ABC">
      <w:pPr>
        <w:numPr>
          <w:ilvl w:val="0"/>
          <w:numId w:val="50"/>
        </w:numPr>
        <w:spacing w:before="120"/>
        <w:ind w:right="126"/>
        <w:jc w:val="both"/>
      </w:pPr>
      <w:r w:rsidRPr="0052372A">
        <w:t>i costi di elaborazione di piani di gestio</w:t>
      </w:r>
      <w:r w:rsidR="00C1062E">
        <w:t>ne forestale e loro equivalenti.</w:t>
      </w:r>
    </w:p>
    <w:p w:rsidR="00702569" w:rsidRDefault="00702569" w:rsidP="00EF54EA">
      <w:pPr>
        <w:spacing w:before="120"/>
        <w:ind w:right="126"/>
        <w:jc w:val="both"/>
      </w:pPr>
      <w:r>
        <w:t xml:space="preserve">L’acquisto di beni immobili e di macchine ed attrezzature è possibile anche attraverso il leasing, con le modalità indicate al paragrafo </w:t>
      </w:r>
      <w:r w:rsidR="003532E2" w:rsidRPr="0010209C">
        <w:t>3</w:t>
      </w:r>
      <w:r w:rsidR="00C271A0" w:rsidRPr="0010209C">
        <w:t>.</w:t>
      </w:r>
      <w:r w:rsidR="005D34EB">
        <w:t>14</w:t>
      </w:r>
      <w:r w:rsidR="00C271A0" w:rsidRPr="0010209C">
        <w:t>.</w:t>
      </w:r>
      <w:r>
        <w:t xml:space="preserve"> </w:t>
      </w:r>
    </w:p>
    <w:p w:rsidR="00702569" w:rsidRDefault="0010209C" w:rsidP="00357505">
      <w:pPr>
        <w:spacing w:before="120"/>
        <w:ind w:right="126"/>
        <w:jc w:val="both"/>
      </w:pPr>
      <w:r>
        <w:t>Come previsto dal comma 3</w:t>
      </w:r>
      <w:r w:rsidR="005D34EB">
        <w:t>,</w:t>
      </w:r>
      <w:r>
        <w:t xml:space="preserve"> dell’art.</w:t>
      </w:r>
      <w:r w:rsidR="00F96461">
        <w:t xml:space="preserve"> </w:t>
      </w:r>
      <w:r>
        <w:t>45 del Reg. (UE)</w:t>
      </w:r>
      <w:r w:rsidR="00F96461">
        <w:t xml:space="preserve"> </w:t>
      </w:r>
      <w:r>
        <w:t>n.</w:t>
      </w:r>
      <w:r w:rsidR="001F092B">
        <w:t xml:space="preserve"> </w:t>
      </w:r>
      <w:r>
        <w:t>1305</w:t>
      </w:r>
      <w:r w:rsidR="00F96461">
        <w:t>/2013</w:t>
      </w:r>
      <w:r>
        <w:t>, n</w:t>
      </w:r>
      <w:r w:rsidR="000B5B5E" w:rsidRPr="000B5B5E">
        <w:t>el caso di investimenti agricoli, l'acquisto di diritti di produzione agricola, di diritti all'aiuto, di animali, di piante annuali e la loro messa a dimora non sono ammissibili al sostegno agli investimenti. Tuttavia, in caso di ripristino del potenziale produttivo agricolo danneggiato da calamità naturali o eventi catastrofici ai sensi dell'art</w:t>
      </w:r>
      <w:r w:rsidR="005D34EB">
        <w:t>.</w:t>
      </w:r>
      <w:r w:rsidR="000B5B5E" w:rsidRPr="000B5B5E">
        <w:t xml:space="preserve"> 18, paragrafo 1, lettera b)</w:t>
      </w:r>
      <w:r w:rsidR="007C3AC3">
        <w:t xml:space="preserve"> del Reg. </w:t>
      </w:r>
      <w:r w:rsidR="005D34EB">
        <w:t>(</w:t>
      </w:r>
      <w:r w:rsidR="007C3AC3">
        <w:t>UE</w:t>
      </w:r>
      <w:r w:rsidR="005D34EB">
        <w:t>)</w:t>
      </w:r>
      <w:r w:rsidR="007C3AC3">
        <w:t xml:space="preserve"> n.1305</w:t>
      </w:r>
      <w:r w:rsidR="005D34EB">
        <w:t>/2013</w:t>
      </w:r>
      <w:r w:rsidR="000B5B5E" w:rsidRPr="000B5B5E">
        <w:t>,</w:t>
      </w:r>
      <w:r w:rsidR="007C3AC3">
        <w:t xml:space="preserve"> </w:t>
      </w:r>
      <w:r w:rsidR="000B5B5E" w:rsidRPr="000B5B5E">
        <w:t>le spese per l'acquisto di animali possono essere considerate ammissibili.</w:t>
      </w:r>
    </w:p>
    <w:p w:rsidR="009667A7" w:rsidRPr="009667A7" w:rsidRDefault="009667A7" w:rsidP="00357505">
      <w:pPr>
        <w:spacing w:before="120"/>
        <w:ind w:right="126"/>
        <w:jc w:val="both"/>
      </w:pPr>
      <w:r w:rsidRPr="009667A7">
        <w:t xml:space="preserve">Il capitale circolante non è un costo ammissibile per le seguenti misure: 4.2, 8.1, 8.2, 8.6 </w:t>
      </w:r>
    </w:p>
    <w:p w:rsidR="009D6576" w:rsidRDefault="00E864B5" w:rsidP="002642EA">
      <w:pPr>
        <w:spacing w:before="120"/>
        <w:ind w:right="126"/>
        <w:jc w:val="both"/>
      </w:pPr>
      <w:r>
        <w:t>Nel caso di acquisizione di beni materiali</w:t>
      </w:r>
      <w:r w:rsidR="00607B82">
        <w:t>,</w:t>
      </w:r>
      <w:r>
        <w:t xml:space="preserve"> </w:t>
      </w:r>
      <w:r w:rsidR="00421322">
        <w:t>quali impianti,</w:t>
      </w:r>
      <w:r w:rsidR="00607B82">
        <w:t xml:space="preserve"> macchinari, </w:t>
      </w:r>
      <w:r w:rsidR="00421322">
        <w:t xml:space="preserve">attrezzature e componenti edili non a misura </w:t>
      </w:r>
      <w:r w:rsidR="00B731B7">
        <w:t>o non compresi nelle voci del prezzario utilizzato a livello regionale</w:t>
      </w:r>
      <w:r w:rsidR="00AD0AB6">
        <w:t xml:space="preserve"> e delle province autonome</w:t>
      </w:r>
      <w:r w:rsidR="00B731B7">
        <w:t xml:space="preserve"> </w:t>
      </w:r>
      <w:r w:rsidR="00421322">
        <w:t>(es. strutt</w:t>
      </w:r>
      <w:r w:rsidR="003C7736">
        <w:t xml:space="preserve">ure prefabbricate ed infissi), </w:t>
      </w:r>
      <w:r w:rsidR="00421322">
        <w:t>al fine di determinare il fornitore e la spesa ammissibile ad aiuto</w:t>
      </w:r>
      <w:r>
        <w:t>, è necessario adottare una procedura</w:t>
      </w:r>
      <w:r w:rsidR="00E84A5F">
        <w:t xml:space="preserve"> per la verifica de</w:t>
      </w:r>
      <w:r w:rsidR="00BC3EDF">
        <w:t>lla congruità</w:t>
      </w:r>
      <w:r w:rsidR="008069BC">
        <w:t xml:space="preserve"> e della </w:t>
      </w:r>
      <w:r w:rsidR="002522C0">
        <w:t>ragionevolezza</w:t>
      </w:r>
      <w:r w:rsidR="00BC3EDF">
        <w:t xml:space="preserve"> dei costi.</w:t>
      </w:r>
      <w:r w:rsidR="003E711E">
        <w:t xml:space="preserve"> </w:t>
      </w:r>
      <w:r w:rsidR="00BC3EDF" w:rsidRPr="00DC3A3C">
        <w:t xml:space="preserve">A tal fine possono essere utilizzati </w:t>
      </w:r>
      <w:r w:rsidR="005B5C1E">
        <w:t xml:space="preserve">i </w:t>
      </w:r>
      <w:r w:rsidR="00BC3EDF" w:rsidRPr="00DC3A3C">
        <w:t>metodi di valutazione</w:t>
      </w:r>
      <w:r w:rsidR="003E711E" w:rsidRPr="00DC3A3C">
        <w:t xml:space="preserve"> così come specificato </w:t>
      </w:r>
      <w:r w:rsidR="00E5382A" w:rsidRPr="00DC3A3C">
        <w:t>nel</w:t>
      </w:r>
      <w:r w:rsidR="003E711E" w:rsidRPr="00DC3A3C">
        <w:t xml:space="preserve"> paragrafo</w:t>
      </w:r>
      <w:r w:rsidR="005D34EB" w:rsidRPr="00DC3A3C">
        <w:t xml:space="preserve"> </w:t>
      </w:r>
      <w:r w:rsidR="00E5382A" w:rsidRPr="00DC3A3C">
        <w:t xml:space="preserve">2.2 </w:t>
      </w:r>
      <w:r w:rsidR="005B5C1E">
        <w:t>sulla ragionevolezza dei costi.</w:t>
      </w:r>
      <w:r w:rsidR="00AC1F08">
        <w:t xml:space="preserve"> </w:t>
      </w:r>
    </w:p>
    <w:p w:rsidR="0005013E" w:rsidRPr="00E412B4" w:rsidRDefault="00C45176" w:rsidP="00273BE4">
      <w:pPr>
        <w:spacing w:before="120"/>
        <w:ind w:right="126"/>
        <w:jc w:val="both"/>
      </w:pPr>
      <w:r>
        <w:t>L</w:t>
      </w:r>
      <w:r w:rsidRPr="00350E06">
        <w:t xml:space="preserve">’Autorità </w:t>
      </w:r>
      <w:r w:rsidR="008278EF" w:rsidRPr="00350E06">
        <w:t>di Gestione può stabilire</w:t>
      </w:r>
      <w:r w:rsidR="00BD1375">
        <w:t xml:space="preserve"> </w:t>
      </w:r>
      <w:r w:rsidR="00D12F03">
        <w:t xml:space="preserve">modalità diverse </w:t>
      </w:r>
      <w:r w:rsidR="00117ED8" w:rsidRPr="002521F7">
        <w:t>con l</w:t>
      </w:r>
      <w:r w:rsidR="00D12F03">
        <w:t>e</w:t>
      </w:r>
      <w:r w:rsidR="00117ED8" w:rsidRPr="002521F7">
        <w:t xml:space="preserve"> </w:t>
      </w:r>
      <w:r w:rsidR="00D12F03" w:rsidRPr="002521F7">
        <w:t>qual</w:t>
      </w:r>
      <w:r w:rsidR="00D12F03">
        <w:t>i</w:t>
      </w:r>
      <w:r w:rsidR="00D12F03" w:rsidRPr="002521F7">
        <w:t xml:space="preserve"> </w:t>
      </w:r>
      <w:r w:rsidR="00117ED8" w:rsidRPr="002521F7">
        <w:t>si d</w:t>
      </w:r>
      <w:r w:rsidR="00E40D30" w:rsidRPr="002521F7">
        <w:t>ia</w:t>
      </w:r>
      <w:r w:rsidR="00117ED8" w:rsidRPr="002521F7">
        <w:t xml:space="preserve"> conto </w:t>
      </w:r>
      <w:r w:rsidR="00E40D30" w:rsidRPr="002521F7">
        <w:t xml:space="preserve">della </w:t>
      </w:r>
      <w:r w:rsidR="00481934">
        <w:t xml:space="preserve">tipologia del bene </w:t>
      </w:r>
      <w:r w:rsidR="00B731B7">
        <w:t xml:space="preserve">da </w:t>
      </w:r>
      <w:r w:rsidR="00481934">
        <w:t>acquista</w:t>
      </w:r>
      <w:r w:rsidR="00B731B7">
        <w:t xml:space="preserve">re </w:t>
      </w:r>
      <w:r w:rsidR="00481934">
        <w:t xml:space="preserve">e della </w:t>
      </w:r>
      <w:r w:rsidR="00E40D30" w:rsidRPr="002521F7">
        <w:t>congruità dell’importo p</w:t>
      </w:r>
      <w:r w:rsidR="00B731B7">
        <w:t>revisto</w:t>
      </w:r>
      <w:r w:rsidR="00117ED8" w:rsidRPr="002521F7">
        <w:t>.</w:t>
      </w:r>
      <w:r w:rsidR="00421322">
        <w:t xml:space="preserve"> </w:t>
      </w:r>
      <w:r w:rsidR="0005013E" w:rsidRPr="00E412B4">
        <w:t xml:space="preserve">L’acquisto di beni materiali deve sempre essere comprovato da fatture o </w:t>
      </w:r>
      <w:r w:rsidR="008506FD" w:rsidRPr="00E412B4">
        <w:t xml:space="preserve">da </w:t>
      </w:r>
      <w:r w:rsidR="0005013E" w:rsidRPr="00E412B4">
        <w:t xml:space="preserve">altri documenti </w:t>
      </w:r>
      <w:r w:rsidR="00872EDD" w:rsidRPr="00E412B4">
        <w:t>avent</w:t>
      </w:r>
      <w:r w:rsidR="00872EDD">
        <w:t>i</w:t>
      </w:r>
      <w:r w:rsidR="00872EDD" w:rsidRPr="00E412B4">
        <w:t xml:space="preserve"> </w:t>
      </w:r>
      <w:r w:rsidR="0005013E" w:rsidRPr="00E412B4">
        <w:t>forza probante equivalent</w:t>
      </w:r>
      <w:r w:rsidR="008506FD" w:rsidRPr="00E412B4">
        <w:t>e;</w:t>
      </w:r>
      <w:r w:rsidR="002F58A1">
        <w:t xml:space="preserve"> </w:t>
      </w:r>
      <w:r w:rsidR="00872EDD">
        <w:t>inoltre</w:t>
      </w:r>
      <w:r w:rsidR="008506FD" w:rsidRPr="00E412B4">
        <w:t xml:space="preserve">, la natura </w:t>
      </w:r>
      <w:r w:rsidR="00B731B7">
        <w:t xml:space="preserve">e la quantità </w:t>
      </w:r>
      <w:r w:rsidR="008506FD" w:rsidRPr="00E412B4">
        <w:t xml:space="preserve">del bene acquistato </w:t>
      </w:r>
      <w:r w:rsidR="0062209A" w:rsidRPr="00E412B4">
        <w:t>dev</w:t>
      </w:r>
      <w:r w:rsidR="0062209A">
        <w:t>ono</w:t>
      </w:r>
      <w:r w:rsidR="0062209A" w:rsidRPr="00E412B4">
        <w:t xml:space="preserve"> </w:t>
      </w:r>
      <w:r w:rsidR="008506FD" w:rsidRPr="00E412B4">
        <w:t xml:space="preserve">essere sempre </w:t>
      </w:r>
      <w:r w:rsidR="0062209A" w:rsidRPr="00E412B4">
        <w:t>specificat</w:t>
      </w:r>
      <w:r w:rsidR="0062209A">
        <w:t>e</w:t>
      </w:r>
      <w:r w:rsidR="0005013E" w:rsidRPr="00E412B4">
        <w:t>.</w:t>
      </w:r>
    </w:p>
    <w:p w:rsidR="00E864B5" w:rsidRDefault="001B6BA0" w:rsidP="00273BE4">
      <w:pPr>
        <w:spacing w:before="120"/>
        <w:ind w:right="126"/>
        <w:jc w:val="both"/>
      </w:pPr>
      <w:r w:rsidRPr="0034258D">
        <w:t>Tuttavia, n</w:t>
      </w:r>
      <w:r w:rsidR="00E864B5" w:rsidRPr="0034258D">
        <w:t>el caso di acquisizioni di beni altamente specializzati</w:t>
      </w:r>
      <w:r w:rsidR="00AF4DB9" w:rsidRPr="0034258D">
        <w:t xml:space="preserve"> e nel caso di investimenti a completamento di forniture preesistenti</w:t>
      </w:r>
      <w:r w:rsidR="00E864B5" w:rsidRPr="0034258D">
        <w:t xml:space="preserve">, per i quali non </w:t>
      </w:r>
      <w:r w:rsidR="00A06F46" w:rsidRPr="0034258D">
        <w:t>sia</w:t>
      </w:r>
      <w:r w:rsidR="00E864B5" w:rsidRPr="0034258D">
        <w:t xml:space="preserve"> possibile reperire </w:t>
      </w:r>
      <w:r w:rsidR="005B5C1E">
        <w:t xml:space="preserve">i preventivi di </w:t>
      </w:r>
      <w:r w:rsidR="00E864B5" w:rsidRPr="0034258D">
        <w:t>più fornitori,</w:t>
      </w:r>
      <w:r w:rsidR="00B16E8D" w:rsidRPr="0034258D">
        <w:t xml:space="preserve"> </w:t>
      </w:r>
      <w:r w:rsidR="00CF2A1C">
        <w:t>occorre</w:t>
      </w:r>
      <w:r w:rsidR="00E864B5" w:rsidRPr="0034258D">
        <w:t xml:space="preserve"> pre</w:t>
      </w:r>
      <w:r w:rsidR="00B16E8D" w:rsidRPr="0034258D">
        <w:t>disporre</w:t>
      </w:r>
      <w:r w:rsidR="00E864B5" w:rsidRPr="0034258D">
        <w:t xml:space="preserve"> una dichiarazione nella quale </w:t>
      </w:r>
      <w:r w:rsidR="00F77105" w:rsidRPr="0034258D">
        <w:t xml:space="preserve">si </w:t>
      </w:r>
      <w:r w:rsidR="00E864B5" w:rsidRPr="0034258D">
        <w:t>attesti l’impossib</w:t>
      </w:r>
      <w:r w:rsidR="00CF2A1C">
        <w:t>ilità di individuare altri fornitori</w:t>
      </w:r>
      <w:r w:rsidR="00E864B5" w:rsidRPr="0034258D">
        <w:t xml:space="preserve"> concorrenti in grado di fornire i beni oggetto del finanziamento, allegando una specifica relazione tecnica </w:t>
      </w:r>
      <w:r w:rsidR="00AF4DB9" w:rsidRPr="0034258D">
        <w:t>giustificativa</w:t>
      </w:r>
      <w:r w:rsidR="005553BD" w:rsidRPr="0034258D">
        <w:t xml:space="preserve">, indipendentemente dal valore </w:t>
      </w:r>
      <w:r w:rsidR="00F8148C" w:rsidRPr="0034258D">
        <w:t xml:space="preserve">del bene o </w:t>
      </w:r>
      <w:r w:rsidR="005553BD" w:rsidRPr="0034258D">
        <w:t>della fornitura da acquistare.</w:t>
      </w:r>
    </w:p>
    <w:p w:rsidR="00E864B5" w:rsidRPr="00C64055" w:rsidRDefault="00AF4DB9" w:rsidP="00273BE4">
      <w:pPr>
        <w:spacing w:before="120"/>
        <w:ind w:right="126"/>
        <w:jc w:val="both"/>
      </w:pPr>
      <w:r>
        <w:lastRenderedPageBreak/>
        <w:t>I beni acquistati</w:t>
      </w:r>
      <w:r w:rsidR="009E0C87">
        <w:t>,</w:t>
      </w:r>
      <w:r>
        <w:t xml:space="preserve"> </w:t>
      </w:r>
      <w:r w:rsidR="009E0C87">
        <w:t xml:space="preserve">salvo quanto previsto dal </w:t>
      </w:r>
      <w:r w:rsidR="00C271A0" w:rsidRPr="007C3AC3">
        <w:t xml:space="preserve">paragrafo </w:t>
      </w:r>
      <w:r w:rsidR="003532E2" w:rsidRPr="007C3AC3">
        <w:t>3</w:t>
      </w:r>
      <w:r w:rsidR="00C271A0" w:rsidRPr="007C3AC3">
        <w:t>.</w:t>
      </w:r>
      <w:r w:rsidR="003E2194">
        <w:t>4</w:t>
      </w:r>
      <w:r w:rsidR="002A1F6F">
        <w:t>,</w:t>
      </w:r>
      <w:r w:rsidR="009E0C87">
        <w:t xml:space="preserve"> </w:t>
      </w:r>
      <w:r w:rsidR="00E864B5">
        <w:t>devono essere nuovi e privi di vincoli o ipoteche e sulle relative fatture d</w:t>
      </w:r>
      <w:r w:rsidR="00734906">
        <w:t>eve</w:t>
      </w:r>
      <w:r w:rsidR="00E864B5">
        <w:t xml:space="preserve"> essere indicato con chiarezza l’oggetto dell’acquisto e</w:t>
      </w:r>
      <w:r w:rsidR="00F77105">
        <w:t xml:space="preserve">, </w:t>
      </w:r>
      <w:r w:rsidR="00EC058A">
        <w:t xml:space="preserve">in funzione della tipologia del bene, </w:t>
      </w:r>
      <w:r w:rsidR="00E864B5" w:rsidRPr="00C64055">
        <w:t>il numero seriale o di matricola.</w:t>
      </w:r>
    </w:p>
    <w:p w:rsidR="008D278F" w:rsidRDefault="008D278F" w:rsidP="00273BE4">
      <w:pPr>
        <w:spacing w:before="120"/>
        <w:ind w:right="126"/>
        <w:jc w:val="both"/>
      </w:pPr>
      <w:r>
        <w:t>Relativamente alla realizzazione di opere edili</w:t>
      </w:r>
      <w:r w:rsidR="00B426D6">
        <w:t xml:space="preserve"> a misura (scavi, fondazioni, strutture in elevazione ecc.),</w:t>
      </w:r>
      <w:r w:rsidRPr="00032B54">
        <w:t xml:space="preserve"> </w:t>
      </w:r>
      <w:r w:rsidR="00734906">
        <w:t>devono</w:t>
      </w:r>
      <w:r w:rsidRPr="00032B54">
        <w:t xml:space="preserve"> essere presentati progetti corredati da disegni,</w:t>
      </w:r>
      <w:r>
        <w:t xml:space="preserve"> </w:t>
      </w:r>
      <w:r w:rsidRPr="00032B54">
        <w:t xml:space="preserve">da una relazione tecnica descrittiva delle opere da eseguire, da computi metrici </w:t>
      </w:r>
      <w:r w:rsidR="00BD69A0">
        <w:t xml:space="preserve">analitici </w:t>
      </w:r>
      <w:r w:rsidRPr="00032B54">
        <w:t>redatti sulla base</w:t>
      </w:r>
      <w:r w:rsidR="00B426D6">
        <w:t xml:space="preserve"> delle voci di spesa contenute nei prezzari di riferimento adottati a livello di singola </w:t>
      </w:r>
      <w:r w:rsidR="009E0C87">
        <w:t>R</w:t>
      </w:r>
      <w:r w:rsidR="00F9200E">
        <w:t xml:space="preserve">egione e </w:t>
      </w:r>
      <w:r w:rsidR="009E0C87">
        <w:t>P</w:t>
      </w:r>
      <w:r w:rsidR="00F9200E">
        <w:t>rovincia autonoma</w:t>
      </w:r>
      <w:r w:rsidR="00B82EE1" w:rsidRPr="00E75D9A">
        <w:t>.</w:t>
      </w:r>
      <w:r w:rsidRPr="00032B54">
        <w:t xml:space="preserve"> </w:t>
      </w:r>
      <w:r w:rsidR="00B426D6">
        <w:t xml:space="preserve">Precedentemente alla </w:t>
      </w:r>
      <w:r w:rsidRPr="002862B3">
        <w:t>data di liquidazione del saldo</w:t>
      </w:r>
      <w:r w:rsidRPr="00252A00">
        <w:t>,</w:t>
      </w:r>
      <w:r w:rsidR="00B426D6">
        <w:rPr>
          <w:b/>
        </w:rPr>
        <w:t xml:space="preserve"> </w:t>
      </w:r>
      <w:r w:rsidR="00B426D6">
        <w:t xml:space="preserve">è </w:t>
      </w:r>
      <w:r w:rsidR="00D12F03">
        <w:t xml:space="preserve">comunque </w:t>
      </w:r>
      <w:r w:rsidR="00B426D6">
        <w:t xml:space="preserve">necessario </w:t>
      </w:r>
      <w:r w:rsidR="00D12F03">
        <w:t>aver acquisito</w:t>
      </w:r>
      <w:r w:rsidR="00D12F03" w:rsidRPr="00032B54">
        <w:t xml:space="preserve"> </w:t>
      </w:r>
      <w:r w:rsidRPr="00032B54">
        <w:t>ogni utile documento o autorizzazione</w:t>
      </w:r>
      <w:r w:rsidR="00B426D6">
        <w:t xml:space="preserve"> cui la realizzazione del progetto è subordinata</w:t>
      </w:r>
      <w:r w:rsidR="00E63CD4">
        <w:t>.</w:t>
      </w:r>
      <w:r w:rsidRPr="00032B54">
        <w:t xml:space="preserve"> </w:t>
      </w:r>
    </w:p>
    <w:p w:rsidR="00A07F43" w:rsidRDefault="00A07F43" w:rsidP="00A07F43">
      <w:pPr>
        <w:spacing w:before="120"/>
        <w:ind w:right="126"/>
        <w:jc w:val="both"/>
      </w:pPr>
      <w:r>
        <w:t>In fase di accertamento dell’avvenuta realizzazione dei lavori devono</w:t>
      </w:r>
      <w:r w:rsidRPr="00032B54">
        <w:t xml:space="preserve"> essere prodotti </w:t>
      </w:r>
      <w:r w:rsidRPr="008310CA">
        <w:t>gli stati d</w:t>
      </w:r>
      <w:r>
        <w:t>i</w:t>
      </w:r>
      <w:r w:rsidRPr="008310CA">
        <w:t xml:space="preserve"> avanzamento o lo stato finale dei lavori, ivi compresi i computi metrici analitici</w:t>
      </w:r>
      <w:r w:rsidRPr="008310CA">
        <w:rPr>
          <w:color w:val="FF0000"/>
        </w:rPr>
        <w:t xml:space="preserve"> </w:t>
      </w:r>
      <w:r w:rsidRPr="008310CA">
        <w:t>redatti sulla base</w:t>
      </w:r>
      <w:r w:rsidRPr="00716DAA">
        <w:t xml:space="preserve"> dei quantitativi</w:t>
      </w:r>
      <w:r>
        <w:t xml:space="preserve"> effettivamente realizzati</w:t>
      </w:r>
      <w:r w:rsidRPr="002862B3">
        <w:t xml:space="preserve">, </w:t>
      </w:r>
      <w:r>
        <w:t>nonché</w:t>
      </w:r>
      <w:r w:rsidRPr="002862B3">
        <w:t xml:space="preserve"> la documentazione attestante la funzionalità, la qualità e la sicurezza dell’opera eseguita</w:t>
      </w:r>
      <w:r w:rsidRPr="0031667C">
        <w:t>.</w:t>
      </w:r>
    </w:p>
    <w:p w:rsidR="00A07F43" w:rsidRPr="001268C3" w:rsidRDefault="00A07F43" w:rsidP="00A07F43">
      <w:pPr>
        <w:spacing w:before="120"/>
        <w:ind w:right="126"/>
        <w:jc w:val="both"/>
      </w:pPr>
      <w:r w:rsidRPr="001268C3">
        <w:t>Ai fini del calcolo dell’aiuto liquidabile è assunto a riferimento l’importo derivante dal raffronto tra computo metrico consuntivo</w:t>
      </w:r>
      <w:r>
        <w:t xml:space="preserve"> con applicazione dei prezzi approvati in sede di ammissione a finanziamento</w:t>
      </w:r>
      <w:r w:rsidRPr="001268C3">
        <w:t xml:space="preserve"> e </w:t>
      </w:r>
      <w:r>
        <w:t xml:space="preserve">le </w:t>
      </w:r>
      <w:r w:rsidRPr="001268C3">
        <w:t xml:space="preserve">fatture. In ogni caso l’aiuto liquidabile non può essere superiore all’aiuto concesso. Nel caso di lavori soggiacenti alla normativa per gli appalti </w:t>
      </w:r>
      <w:r w:rsidR="000F3500">
        <w:t xml:space="preserve">o effettuati tramite mercati elettronici (MEPA), </w:t>
      </w:r>
      <w:r w:rsidRPr="001268C3">
        <w:t>i prezzi unitari a cui fare riferimento a consuntivo saranno corrispondenti  al dato contrattuale</w:t>
      </w:r>
      <w:r>
        <w:t>.</w:t>
      </w:r>
    </w:p>
    <w:p w:rsidR="00C7633E" w:rsidRDefault="0005013E" w:rsidP="00273BE4">
      <w:pPr>
        <w:spacing w:before="120"/>
        <w:ind w:right="126"/>
        <w:jc w:val="both"/>
      </w:pPr>
      <w:r w:rsidRPr="00E412B4">
        <w:t xml:space="preserve">Anche nel caso delle opere edili, la spesa effettuata va documentata </w:t>
      </w:r>
      <w:r w:rsidR="00252A00">
        <w:t>con</w:t>
      </w:r>
      <w:r w:rsidR="00252A00" w:rsidRPr="00E412B4">
        <w:t xml:space="preserve"> </w:t>
      </w:r>
      <w:r w:rsidRPr="00E412B4">
        <w:t xml:space="preserve">fatture o </w:t>
      </w:r>
      <w:r w:rsidR="00252A00">
        <w:t>con</w:t>
      </w:r>
      <w:r w:rsidR="00252A00" w:rsidRPr="00E412B4">
        <w:t xml:space="preserve"> </w:t>
      </w:r>
      <w:r w:rsidRPr="00E412B4">
        <w:t xml:space="preserve">altri documenti aventi forza probante equivalente, chiaramente riferiti ai lavori di cui ai computi metrici </w:t>
      </w:r>
      <w:r w:rsidR="00953BCD" w:rsidRPr="00E412B4">
        <w:t>approvati</w:t>
      </w:r>
      <w:r w:rsidRPr="00E412B4">
        <w:t>.</w:t>
      </w:r>
    </w:p>
    <w:p w:rsidR="00DE5EC7" w:rsidRPr="003C583E" w:rsidRDefault="00EE5F50" w:rsidP="00C45176">
      <w:pPr>
        <w:spacing w:before="120"/>
        <w:ind w:right="126"/>
        <w:jc w:val="both"/>
      </w:pPr>
      <w:r>
        <w:t>S</w:t>
      </w:r>
      <w:r w:rsidR="00DE5EC7">
        <w:t>econdo quanto indicato nella lettera c) dell’art</w:t>
      </w:r>
      <w:r w:rsidR="003E2194">
        <w:t>.</w:t>
      </w:r>
      <w:r w:rsidR="00DE5EC7">
        <w:t xml:space="preserve"> 45 del Reg. (UE) n. 1305/2013, gli studi di fattibilità sono considerat</w:t>
      </w:r>
      <w:r w:rsidR="00536BA1">
        <w:t>i</w:t>
      </w:r>
      <w:r w:rsidR="00DE5EC7">
        <w:t xml:space="preserve"> ammissibili anche quando, in base ai loro risultati, non sono effettuate spese per la costruzione, acquisizione, anche con leasing, o miglioramento di beni immobili nonché per l’acquisto o leasing di nuovo macchinari e attrezzature.</w:t>
      </w:r>
    </w:p>
    <w:p w:rsidR="00EC1A27" w:rsidRPr="005E58BE" w:rsidRDefault="00C45176" w:rsidP="00273BE4">
      <w:pPr>
        <w:tabs>
          <w:tab w:val="left" w:pos="709"/>
          <w:tab w:val="right" w:pos="8672"/>
        </w:tabs>
        <w:spacing w:before="120"/>
        <w:ind w:right="126"/>
        <w:jc w:val="both"/>
        <w:rPr>
          <w:snapToGrid w:val="0"/>
        </w:rPr>
      </w:pPr>
      <w:r>
        <w:rPr>
          <w:snapToGrid w:val="0"/>
        </w:rPr>
        <w:t>A</w:t>
      </w:r>
      <w:r w:rsidR="00EE5F50">
        <w:rPr>
          <w:snapToGrid w:val="0"/>
        </w:rPr>
        <w:t xml:space="preserve">nche per </w:t>
      </w:r>
      <w:r w:rsidR="00EE5F50" w:rsidRPr="0079486B">
        <w:rPr>
          <w:snapToGrid w:val="0"/>
        </w:rPr>
        <w:t xml:space="preserve">gli </w:t>
      </w:r>
      <w:r w:rsidR="00C271A0" w:rsidRPr="0079486B">
        <w:rPr>
          <w:snapToGrid w:val="0"/>
        </w:rPr>
        <w:t>investimenti immateriali</w:t>
      </w:r>
      <w:r w:rsidR="00D66FEC">
        <w:rPr>
          <w:snapToGrid w:val="0"/>
        </w:rPr>
        <w:t xml:space="preserve">, </w:t>
      </w:r>
      <w:r w:rsidR="00536BA1">
        <w:rPr>
          <w:snapToGrid w:val="0"/>
        </w:rPr>
        <w:t>a</w:t>
      </w:r>
      <w:r w:rsidR="00EC1A27" w:rsidRPr="005E58BE">
        <w:rPr>
          <w:snapToGrid w:val="0"/>
        </w:rPr>
        <w:t xml:space="preserve">l fine di poter </w:t>
      </w:r>
      <w:r w:rsidR="00BF387A">
        <w:rPr>
          <w:snapToGrid w:val="0"/>
        </w:rPr>
        <w:t>valuta</w:t>
      </w:r>
      <w:r w:rsidR="0079486B">
        <w:rPr>
          <w:snapToGrid w:val="0"/>
        </w:rPr>
        <w:t>re la ragionevolezza dei costi</w:t>
      </w:r>
      <w:r w:rsidR="00BF387A">
        <w:rPr>
          <w:snapToGrid w:val="0"/>
        </w:rPr>
        <w:t xml:space="preserve">, per </w:t>
      </w:r>
      <w:r w:rsidR="00EC1A27" w:rsidRPr="005E58BE">
        <w:rPr>
          <w:snapToGrid w:val="0"/>
        </w:rPr>
        <w:t>la scelta del soggetto cui</w:t>
      </w:r>
      <w:r w:rsidR="00EC1A27" w:rsidRPr="005E58BE">
        <w:rPr>
          <w:b/>
          <w:snapToGrid w:val="0"/>
        </w:rPr>
        <w:t xml:space="preserve"> </w:t>
      </w:r>
      <w:r w:rsidR="00EC1A27" w:rsidRPr="005E58BE">
        <w:rPr>
          <w:snapToGrid w:val="0"/>
        </w:rPr>
        <w:t xml:space="preserve">affidare l’incarico, in base non solo all’aspetto economico, ma anche alla qualità del piano di lavoro e all’affidabilità del fornitore, è necessario che vengano presentate tre </w:t>
      </w:r>
      <w:r w:rsidR="007C3AC3">
        <w:rPr>
          <w:snapToGrid w:val="0"/>
        </w:rPr>
        <w:t xml:space="preserve">differenti </w:t>
      </w:r>
      <w:r w:rsidR="00D66FEC">
        <w:rPr>
          <w:snapToGrid w:val="0"/>
        </w:rPr>
        <w:t>offerte</w:t>
      </w:r>
      <w:r w:rsidR="00EC1A27" w:rsidRPr="005E58BE">
        <w:rPr>
          <w:snapToGrid w:val="0"/>
        </w:rPr>
        <w:t>. Le suddette tre offerte devono contenere</w:t>
      </w:r>
      <w:r w:rsidR="00BD69A0">
        <w:rPr>
          <w:snapToGrid w:val="0"/>
        </w:rPr>
        <w:t>, ove pertinenti,</w:t>
      </w:r>
      <w:r w:rsidR="00EC1A27" w:rsidRPr="005E58BE">
        <w:rPr>
          <w:snapToGrid w:val="0"/>
        </w:rPr>
        <w:t xml:space="preserve"> una serie di informazioni puntuali sul fornitore (elenco delle attività eseguite, curricul</w:t>
      </w:r>
      <w:r w:rsidR="0024392A">
        <w:rPr>
          <w:snapToGrid w:val="0"/>
        </w:rPr>
        <w:t>um</w:t>
      </w:r>
      <w:r w:rsidR="00EC1A27" w:rsidRPr="005E58BE">
        <w:rPr>
          <w:snapToGrid w:val="0"/>
        </w:rPr>
        <w:t xml:space="preserve"> delle pertinenti figure professionali della struttura o in collaborazione esterna, sulla modalità di esecuzione del progetto (piano di lavoro, figure professionali da utilizzare, tempi di realizzazione) e sui costi </w:t>
      </w:r>
      <w:r w:rsidR="001A2FA7">
        <w:rPr>
          <w:snapToGrid w:val="0"/>
        </w:rPr>
        <w:t>previsti</w:t>
      </w:r>
      <w:r w:rsidR="00EC1A27" w:rsidRPr="005E58BE">
        <w:rPr>
          <w:snapToGrid w:val="0"/>
        </w:rPr>
        <w:t>.</w:t>
      </w:r>
    </w:p>
    <w:p w:rsidR="00EC1A27" w:rsidRDefault="00EC1A27" w:rsidP="00273BE4">
      <w:pPr>
        <w:tabs>
          <w:tab w:val="left" w:pos="709"/>
          <w:tab w:val="right" w:pos="8672"/>
        </w:tabs>
        <w:spacing w:before="120"/>
        <w:ind w:right="126"/>
        <w:jc w:val="both"/>
        <w:rPr>
          <w:snapToGrid w:val="0"/>
        </w:rPr>
      </w:pPr>
      <w:r w:rsidRPr="005E58BE">
        <w:rPr>
          <w:snapToGrid w:val="0"/>
        </w:rPr>
        <w:t xml:space="preserve">Ove non sia possibile disporre di tre offerte di preventivo, </w:t>
      </w:r>
      <w:r w:rsidR="006D3497">
        <w:rPr>
          <w:snapToGrid w:val="0"/>
        </w:rPr>
        <w:t>è necessario</w:t>
      </w:r>
      <w:r w:rsidR="00524620" w:rsidRPr="00E412B4">
        <w:t>, dopo aver effettuato un’accu</w:t>
      </w:r>
      <w:r w:rsidR="006D3497">
        <w:t xml:space="preserve">rata indagine di mercato, </w:t>
      </w:r>
      <w:r w:rsidR="00524620" w:rsidRPr="00E412B4">
        <w:t xml:space="preserve">predisporre una dichiarazione nella quale si attesti l’impossibilità di individuare altri soggetti concorrenti in grado di fornire i servizi oggetto del finanziamento, allegando una specifica relazione descrittiva, </w:t>
      </w:r>
      <w:r w:rsidR="00524620" w:rsidRPr="00E412B4">
        <w:rPr>
          <w:snapToGrid w:val="0"/>
        </w:rPr>
        <w:t>c</w:t>
      </w:r>
      <w:r w:rsidR="00524620">
        <w:rPr>
          <w:snapToGrid w:val="0"/>
        </w:rPr>
        <w:t xml:space="preserve">orredata </w:t>
      </w:r>
      <w:r w:rsidRPr="005E58BE">
        <w:rPr>
          <w:snapToGrid w:val="0"/>
        </w:rPr>
        <w:t xml:space="preserve">degli elementi necessari per la </w:t>
      </w:r>
      <w:r w:rsidR="003446E8">
        <w:rPr>
          <w:snapToGrid w:val="0"/>
        </w:rPr>
        <w:t xml:space="preserve">relativa </w:t>
      </w:r>
      <w:r w:rsidRPr="005E58BE">
        <w:rPr>
          <w:snapToGrid w:val="0"/>
        </w:rPr>
        <w:t>valutazione</w:t>
      </w:r>
      <w:r w:rsidR="007536B4">
        <w:rPr>
          <w:snapToGrid w:val="0"/>
        </w:rPr>
        <w:t>.</w:t>
      </w:r>
      <w:r w:rsidRPr="005E58BE">
        <w:rPr>
          <w:snapToGrid w:val="0"/>
        </w:rPr>
        <w:t xml:space="preserve"> </w:t>
      </w:r>
      <w:r w:rsidR="00C83284">
        <w:rPr>
          <w:snapToGrid w:val="0"/>
        </w:rPr>
        <w:t xml:space="preserve">  </w:t>
      </w:r>
    </w:p>
    <w:p w:rsidR="00EC1A27" w:rsidRPr="005E58BE" w:rsidRDefault="00734906" w:rsidP="00273BE4">
      <w:pPr>
        <w:tabs>
          <w:tab w:val="left" w:pos="709"/>
          <w:tab w:val="right" w:pos="8672"/>
        </w:tabs>
        <w:spacing w:before="120"/>
        <w:ind w:right="126"/>
        <w:jc w:val="both"/>
        <w:rPr>
          <w:strike/>
          <w:snapToGrid w:val="0"/>
        </w:rPr>
      </w:pPr>
      <w:r>
        <w:rPr>
          <w:snapToGrid w:val="0"/>
        </w:rPr>
        <w:t>L</w:t>
      </w:r>
      <w:r w:rsidR="00E2194D">
        <w:rPr>
          <w:snapToGrid w:val="0"/>
        </w:rPr>
        <w:t>a scelta del soggetto cui affidare l’incarico può essere effettuata anche in assenza della</w:t>
      </w:r>
      <w:r w:rsidR="006D3497">
        <w:rPr>
          <w:snapToGrid w:val="0"/>
        </w:rPr>
        <w:t xml:space="preserve"> suddetta</w:t>
      </w:r>
      <w:r w:rsidR="00E2194D">
        <w:rPr>
          <w:snapToGrid w:val="0"/>
        </w:rPr>
        <w:t xml:space="preserve"> r</w:t>
      </w:r>
      <w:r w:rsidR="006D3497">
        <w:rPr>
          <w:snapToGrid w:val="0"/>
        </w:rPr>
        <w:t>elazione</w:t>
      </w:r>
      <w:r w:rsidR="00E2194D">
        <w:rPr>
          <w:snapToGrid w:val="0"/>
        </w:rPr>
        <w:t>.</w:t>
      </w:r>
      <w:r w:rsidR="0024392A">
        <w:rPr>
          <w:snapToGrid w:val="0"/>
        </w:rPr>
        <w:t xml:space="preserve"> </w:t>
      </w:r>
      <w:r w:rsidR="00BF387A">
        <w:rPr>
          <w:snapToGrid w:val="0"/>
        </w:rPr>
        <w:t>In tal caso, p</w:t>
      </w:r>
      <w:r w:rsidR="00EC1A27" w:rsidRPr="005E58BE">
        <w:rPr>
          <w:snapToGrid w:val="0"/>
        </w:rPr>
        <w:t xml:space="preserve">er valutare la congruità dei costi, si può fare riferimento ai parametri relativi al costo orario/giornaliero dei consulenti da utilizzare, ricavati dalle quotazioni di mercato desumibili dalle tariffe adottate dalle Amministrazioni </w:t>
      </w:r>
      <w:r w:rsidR="00AD0AB6">
        <w:rPr>
          <w:snapToGrid w:val="0"/>
        </w:rPr>
        <w:t>R</w:t>
      </w:r>
      <w:r w:rsidR="00AD0AB6" w:rsidRPr="005E58BE">
        <w:rPr>
          <w:snapToGrid w:val="0"/>
        </w:rPr>
        <w:t>egionali</w:t>
      </w:r>
      <w:r w:rsidR="00AD0AB6">
        <w:rPr>
          <w:snapToGrid w:val="0"/>
        </w:rPr>
        <w:t xml:space="preserve"> e</w:t>
      </w:r>
      <w:r w:rsidR="00F9200E">
        <w:rPr>
          <w:snapToGrid w:val="0"/>
        </w:rPr>
        <w:t xml:space="preserve"> d</w:t>
      </w:r>
      <w:r w:rsidR="00AD0AB6">
        <w:rPr>
          <w:snapToGrid w:val="0"/>
        </w:rPr>
        <w:t>e</w:t>
      </w:r>
      <w:r w:rsidR="00F9200E">
        <w:rPr>
          <w:snapToGrid w:val="0"/>
        </w:rPr>
        <w:t xml:space="preserve">lle </w:t>
      </w:r>
      <w:r w:rsidR="00AD0AB6">
        <w:rPr>
          <w:snapToGrid w:val="0"/>
        </w:rPr>
        <w:t>P</w:t>
      </w:r>
      <w:r w:rsidR="00F9200E">
        <w:rPr>
          <w:snapToGrid w:val="0"/>
        </w:rPr>
        <w:t>rovince autonome</w:t>
      </w:r>
      <w:r w:rsidR="00EC1A27" w:rsidRPr="005E58BE">
        <w:rPr>
          <w:snapToGrid w:val="0"/>
        </w:rPr>
        <w:t xml:space="preserve">, dallo Stato o dalla Commissione europea. </w:t>
      </w:r>
      <w:r w:rsidR="00EC1A27" w:rsidRPr="005E58BE">
        <w:rPr>
          <w:strike/>
          <w:snapToGrid w:val="0"/>
        </w:rPr>
        <w:t xml:space="preserve"> </w:t>
      </w:r>
    </w:p>
    <w:p w:rsidR="00EC1A27" w:rsidRDefault="00EC1A27" w:rsidP="00273BE4">
      <w:pPr>
        <w:tabs>
          <w:tab w:val="left" w:pos="1125"/>
          <w:tab w:val="right" w:pos="8672"/>
        </w:tabs>
        <w:spacing w:before="120"/>
        <w:ind w:right="126"/>
        <w:jc w:val="both"/>
        <w:rPr>
          <w:snapToGrid w:val="0"/>
        </w:rPr>
      </w:pPr>
      <w:r w:rsidRPr="005E58BE">
        <w:rPr>
          <w:snapToGrid w:val="0"/>
        </w:rPr>
        <w:t>Inoltre, al fine di effettuare un’adeguata valutazione del lavoro da eseguire, il beneficiario d</w:t>
      </w:r>
      <w:r w:rsidR="001F6EA5">
        <w:rPr>
          <w:snapToGrid w:val="0"/>
        </w:rPr>
        <w:t>eve</w:t>
      </w:r>
      <w:r w:rsidR="006D3497">
        <w:rPr>
          <w:snapToGrid w:val="0"/>
        </w:rPr>
        <w:t xml:space="preserve"> presentare </w:t>
      </w:r>
      <w:r w:rsidRPr="005E58BE">
        <w:rPr>
          <w:snapToGrid w:val="0"/>
        </w:rPr>
        <w:t xml:space="preserve">una dettagliata relazione nella quale siano evidenziate, con una disaggregazione per voce di costo, le modalità operative che contrassegnano l’attività da svolgere, le risorse da impegnare e le fasi in cui </w:t>
      </w:r>
      <w:r w:rsidR="001F6EA5">
        <w:rPr>
          <w:snapToGrid w:val="0"/>
        </w:rPr>
        <w:t>è</w:t>
      </w:r>
      <w:r w:rsidRPr="005E58BE">
        <w:rPr>
          <w:snapToGrid w:val="0"/>
        </w:rPr>
        <w:t xml:space="preserve"> articolato il lavoro. </w:t>
      </w:r>
    </w:p>
    <w:p w:rsidR="004D7111" w:rsidRDefault="004D7111" w:rsidP="00536BA1">
      <w:pPr>
        <w:spacing w:before="120"/>
        <w:ind w:right="126"/>
        <w:jc w:val="both"/>
        <w:rPr>
          <w:b/>
        </w:rPr>
      </w:pPr>
    </w:p>
    <w:p w:rsidR="00536BA1" w:rsidRPr="000B06CE" w:rsidRDefault="003532E2" w:rsidP="003E0D1C">
      <w:pPr>
        <w:pStyle w:val="Titolo2"/>
      </w:pPr>
      <w:bookmarkStart w:id="12" w:name="_Toc432090705"/>
      <w:r w:rsidRPr="000B06CE">
        <w:t>3</w:t>
      </w:r>
      <w:r w:rsidR="00C271A0" w:rsidRPr="000B06CE">
        <w:t>.</w:t>
      </w:r>
      <w:r w:rsidR="00171C5D" w:rsidRPr="000B06CE">
        <w:t>2</w:t>
      </w:r>
      <w:r w:rsidR="00C271A0" w:rsidRPr="000B06CE">
        <w:t xml:space="preserve"> A</w:t>
      </w:r>
      <w:r w:rsidR="00536BA1" w:rsidRPr="000B06CE">
        <w:t>mmortamenti</w:t>
      </w:r>
      <w:bookmarkEnd w:id="12"/>
    </w:p>
    <w:p w:rsidR="00536BA1" w:rsidRDefault="00536BA1" w:rsidP="00536BA1">
      <w:pPr>
        <w:spacing w:before="120"/>
        <w:ind w:right="126"/>
        <w:jc w:val="both"/>
      </w:pPr>
      <w:r>
        <w:t>Come previsto dall’art</w:t>
      </w:r>
      <w:r w:rsidR="0087486E">
        <w:t>.</w:t>
      </w:r>
      <w:r>
        <w:t xml:space="preserve"> 69</w:t>
      </w:r>
      <w:r w:rsidR="0087486E">
        <w:t>,</w:t>
      </w:r>
      <w:r w:rsidR="007C3AC3">
        <w:t xml:space="preserve"> comma</w:t>
      </w:r>
      <w:r w:rsidR="006717A2">
        <w:t xml:space="preserve"> </w:t>
      </w:r>
      <w:r>
        <w:t>2</w:t>
      </w:r>
      <w:r w:rsidR="0087486E">
        <w:t>,</w:t>
      </w:r>
      <w:r>
        <w:t xml:space="preserve"> del Reg. </w:t>
      </w:r>
      <w:r w:rsidR="007C3AC3">
        <w:t>(UE) n.</w:t>
      </w:r>
      <w:r>
        <w:t>1303</w:t>
      </w:r>
      <w:r w:rsidR="007C3AC3">
        <w:t>/2013</w:t>
      </w:r>
      <w:r>
        <w:t>, le spese di ammortamento si possono considerare spese ammissibili alle seguenti condizioni:</w:t>
      </w:r>
    </w:p>
    <w:p w:rsidR="00536BA1" w:rsidRDefault="00536BA1" w:rsidP="00536BA1">
      <w:pPr>
        <w:spacing w:before="120"/>
        <w:ind w:right="126"/>
        <w:jc w:val="both"/>
      </w:pPr>
      <w:r>
        <w:t>a) ciò è consentito dalle norme del programma in materia di ammissibilità;</w:t>
      </w:r>
    </w:p>
    <w:p w:rsidR="00536BA1" w:rsidRDefault="00536BA1" w:rsidP="00536BA1">
      <w:pPr>
        <w:spacing w:before="120"/>
        <w:ind w:right="126"/>
        <w:jc w:val="both"/>
      </w:pPr>
      <w:r>
        <w:t xml:space="preserve">b) l'importo della spesa è debitamente giustificato da documenti con un valore probatorio equivalente alle fatture per costi ammissibili quando rimborsato </w:t>
      </w:r>
      <w:r w:rsidR="006717A2">
        <w:t xml:space="preserve">in basi ai costi reali </w:t>
      </w:r>
      <w:r>
        <w:t>nella forma di cui all'art</w:t>
      </w:r>
      <w:r w:rsidR="0087486E">
        <w:t>.</w:t>
      </w:r>
      <w:r>
        <w:t xml:space="preserve"> 67, paragrafo 1, primo comma, lettera a);</w:t>
      </w:r>
    </w:p>
    <w:p w:rsidR="00536BA1" w:rsidRDefault="00536BA1" w:rsidP="00536BA1">
      <w:pPr>
        <w:spacing w:before="120"/>
        <w:ind w:right="126"/>
        <w:jc w:val="both"/>
      </w:pPr>
      <w:r>
        <w:t>c) i costi si riferiscono esclusivamente al periodo di sostegno all'operazione;</w:t>
      </w:r>
    </w:p>
    <w:p w:rsidR="00536BA1" w:rsidRPr="00E412B4" w:rsidRDefault="00536BA1" w:rsidP="00536BA1">
      <w:pPr>
        <w:spacing w:before="120"/>
        <w:ind w:right="126"/>
        <w:jc w:val="both"/>
      </w:pPr>
      <w:r>
        <w:t>d) all'acquisto dei beni ammortizzati non hanno contribuito sovvenzioni pubbliche.</w:t>
      </w:r>
    </w:p>
    <w:p w:rsidR="004D7111" w:rsidRDefault="004D7111" w:rsidP="00166BB7">
      <w:pPr>
        <w:spacing w:before="120"/>
        <w:ind w:right="126"/>
        <w:jc w:val="both"/>
        <w:rPr>
          <w:b/>
          <w:bCs/>
          <w:iCs/>
          <w:szCs w:val="28"/>
        </w:rPr>
      </w:pPr>
    </w:p>
    <w:p w:rsidR="00E5382A" w:rsidRPr="00922DA3" w:rsidRDefault="00171C5D" w:rsidP="003E0D1C">
      <w:pPr>
        <w:pStyle w:val="Titolo2"/>
        <w:rPr>
          <w:bCs w:val="0"/>
          <w:iCs w:val="0"/>
        </w:rPr>
      </w:pPr>
      <w:bookmarkStart w:id="13" w:name="_Toc432090706"/>
      <w:r w:rsidRPr="000B06CE">
        <w:rPr>
          <w:bCs w:val="0"/>
          <w:iCs w:val="0"/>
        </w:rPr>
        <w:t>3.</w:t>
      </w:r>
      <w:r w:rsidR="0087486E" w:rsidRPr="000B06CE">
        <w:rPr>
          <w:bCs w:val="0"/>
          <w:iCs w:val="0"/>
        </w:rPr>
        <w:t>3</w:t>
      </w:r>
      <w:r w:rsidRPr="000B06CE">
        <w:rPr>
          <w:bCs w:val="0"/>
          <w:iCs w:val="0"/>
        </w:rPr>
        <w:t xml:space="preserve"> </w:t>
      </w:r>
      <w:r w:rsidR="00166BB7" w:rsidRPr="000B06CE">
        <w:rPr>
          <w:bCs w:val="0"/>
          <w:iCs w:val="0"/>
        </w:rPr>
        <w:t xml:space="preserve">Spese di gestione </w:t>
      </w:r>
      <w:r w:rsidR="00922DA3">
        <w:rPr>
          <w:bCs w:val="0"/>
          <w:iCs w:val="0"/>
        </w:rPr>
        <w:t>e studi</w:t>
      </w:r>
      <w:bookmarkEnd w:id="13"/>
    </w:p>
    <w:p w:rsidR="00166BB7" w:rsidRPr="00EA213D" w:rsidRDefault="00C228C5" w:rsidP="00166BB7">
      <w:pPr>
        <w:spacing w:before="120"/>
        <w:ind w:right="126"/>
        <w:jc w:val="both"/>
      </w:pPr>
      <w:r>
        <w:t>Come previsto dall’a</w:t>
      </w:r>
      <w:r w:rsidRPr="00C228C5">
        <w:t>rt</w:t>
      </w:r>
      <w:r w:rsidR="0087486E">
        <w:t>.</w:t>
      </w:r>
      <w:r w:rsidRPr="00C228C5">
        <w:t xml:space="preserve"> 61</w:t>
      </w:r>
      <w:r w:rsidR="0087486E">
        <w:t>,</w:t>
      </w:r>
      <w:r w:rsidRPr="00C228C5">
        <w:t xml:space="preserve"> </w:t>
      </w:r>
      <w:r>
        <w:t xml:space="preserve">comma 1 </w:t>
      </w:r>
      <w:r w:rsidRPr="00C228C5">
        <w:t xml:space="preserve">del </w:t>
      </w:r>
      <w:r w:rsidR="0087486E">
        <w:t>Reg. (UE) n.</w:t>
      </w:r>
      <w:r w:rsidR="00071333">
        <w:t xml:space="preserve"> </w:t>
      </w:r>
      <w:r w:rsidR="0087486E">
        <w:t>1305/2013</w:t>
      </w:r>
      <w:r w:rsidR="006717A2">
        <w:t>,</w:t>
      </w:r>
      <w:r>
        <w:t xml:space="preserve"> </w:t>
      </w:r>
      <w:r w:rsidR="006717A2">
        <w:t>per le</w:t>
      </w:r>
      <w:r w:rsidR="00166BB7" w:rsidRPr="00EA213D">
        <w:t xml:space="preserve"> spese di gestione sovvenzionate nell'ambito del presente regolamento, sono ammissibili le seguenti categorie di spese:</w:t>
      </w:r>
    </w:p>
    <w:p w:rsidR="00166BB7" w:rsidRPr="00EA213D" w:rsidRDefault="00166BB7" w:rsidP="00166BB7">
      <w:pPr>
        <w:spacing w:before="120"/>
        <w:ind w:right="126"/>
        <w:jc w:val="both"/>
      </w:pPr>
      <w:r w:rsidRPr="00EA213D">
        <w:t>a) spese di funzionamento;</w:t>
      </w:r>
    </w:p>
    <w:p w:rsidR="00166BB7" w:rsidRPr="00EA213D" w:rsidRDefault="00166BB7" w:rsidP="00166BB7">
      <w:pPr>
        <w:spacing w:before="120"/>
        <w:ind w:right="126"/>
        <w:jc w:val="both"/>
      </w:pPr>
      <w:r w:rsidRPr="00EA213D">
        <w:t>b) spese di personale;</w:t>
      </w:r>
    </w:p>
    <w:p w:rsidR="00166BB7" w:rsidRPr="00EA213D" w:rsidRDefault="00166BB7" w:rsidP="00166BB7">
      <w:pPr>
        <w:spacing w:before="120"/>
        <w:ind w:right="126"/>
        <w:jc w:val="both"/>
      </w:pPr>
      <w:r w:rsidRPr="00EA213D">
        <w:t>c) spese di formazione;</w:t>
      </w:r>
    </w:p>
    <w:p w:rsidR="00166BB7" w:rsidRPr="00EA213D" w:rsidRDefault="00166BB7" w:rsidP="00166BB7">
      <w:pPr>
        <w:spacing w:before="120"/>
        <w:ind w:right="126"/>
        <w:jc w:val="both"/>
      </w:pPr>
      <w:r w:rsidRPr="00EA213D">
        <w:t>d) spese di pubbliche relazioni;</w:t>
      </w:r>
    </w:p>
    <w:p w:rsidR="00166BB7" w:rsidRPr="00EA213D" w:rsidRDefault="00166BB7" w:rsidP="00166BB7">
      <w:pPr>
        <w:spacing w:before="120"/>
        <w:ind w:right="126"/>
        <w:jc w:val="both"/>
      </w:pPr>
      <w:r w:rsidRPr="00EA213D">
        <w:t>e) spese finanziarie;</w:t>
      </w:r>
    </w:p>
    <w:p w:rsidR="00166BB7" w:rsidRPr="00EA213D" w:rsidRDefault="00166BB7" w:rsidP="00166BB7">
      <w:pPr>
        <w:spacing w:before="120"/>
        <w:ind w:right="126"/>
        <w:jc w:val="both"/>
      </w:pPr>
      <w:r w:rsidRPr="00EA213D">
        <w:t>f) spese di rete.</w:t>
      </w:r>
    </w:p>
    <w:p w:rsidR="00922DA3" w:rsidRPr="00166BB7" w:rsidRDefault="00922DA3" w:rsidP="00922DA3">
      <w:pPr>
        <w:spacing w:before="120"/>
        <w:ind w:right="126"/>
        <w:jc w:val="both"/>
      </w:pPr>
      <w:r>
        <w:rPr>
          <w:rFonts w:ascii="EUAlbertina" w:hAnsi="EUAlbertina" w:cs="EUAlbertina"/>
          <w:color w:val="000000"/>
        </w:rPr>
        <w:t xml:space="preserve">Le spese di personale di cui al punto b) </w:t>
      </w:r>
      <w:r w:rsidRPr="00A20591">
        <w:rPr>
          <w:rFonts w:ascii="EUAlbertina" w:hAnsi="EUAlbertina" w:cs="EUAlbertina"/>
          <w:color w:val="000000"/>
        </w:rPr>
        <w:t xml:space="preserve">sono i costi derivanti da un contratto tra </w:t>
      </w:r>
      <w:r>
        <w:rPr>
          <w:rFonts w:ascii="EUAlbertina" w:hAnsi="EUAlbertina" w:cs="EUAlbertina"/>
          <w:color w:val="000000"/>
        </w:rPr>
        <w:t xml:space="preserve">un </w:t>
      </w:r>
      <w:r w:rsidRPr="00A20591">
        <w:rPr>
          <w:rFonts w:ascii="EUAlbertina" w:hAnsi="EUAlbertina" w:cs="EUAlbertina"/>
          <w:color w:val="000000"/>
        </w:rPr>
        <w:t xml:space="preserve">datore di lavoro e </w:t>
      </w:r>
      <w:r>
        <w:rPr>
          <w:rFonts w:ascii="EUAlbertina" w:hAnsi="EUAlbertina" w:cs="EUAlbertina"/>
          <w:color w:val="000000"/>
        </w:rPr>
        <w:t>un lavoratore o costi per servizi prestati da</w:t>
      </w:r>
      <w:r w:rsidRPr="00A20591">
        <w:rPr>
          <w:rFonts w:ascii="EUAlbertina" w:hAnsi="EUAlbertina" w:cs="EUAlbertina"/>
          <w:color w:val="000000"/>
        </w:rPr>
        <w:t xml:space="preserve"> </w:t>
      </w:r>
      <w:r>
        <w:rPr>
          <w:rFonts w:ascii="EUAlbertina" w:hAnsi="EUAlbertina" w:cs="EUAlbertina"/>
          <w:color w:val="000000"/>
        </w:rPr>
        <w:t>personale esterno</w:t>
      </w:r>
      <w:r w:rsidRPr="00A20591">
        <w:rPr>
          <w:rFonts w:ascii="EUAlbertina" w:hAnsi="EUAlbertina" w:cs="EUAlbertina"/>
          <w:color w:val="000000"/>
        </w:rPr>
        <w:t xml:space="preserve"> (a condizione che tali costi s</w:t>
      </w:r>
      <w:r w:rsidR="00D739E2">
        <w:rPr>
          <w:rFonts w:ascii="EUAlbertina" w:hAnsi="EUAlbertina" w:cs="EUAlbertina"/>
          <w:color w:val="000000"/>
        </w:rPr>
        <w:t>ia</w:t>
      </w:r>
      <w:r w:rsidRPr="00A20591">
        <w:rPr>
          <w:rFonts w:ascii="EUAlbertina" w:hAnsi="EUAlbertina" w:cs="EUAlbertina"/>
          <w:color w:val="000000"/>
        </w:rPr>
        <w:t xml:space="preserve">no chiaramente identificabili). </w:t>
      </w:r>
    </w:p>
    <w:p w:rsidR="00166BB7" w:rsidRDefault="00922DA3" w:rsidP="00166BB7">
      <w:pPr>
        <w:spacing w:before="120"/>
        <w:ind w:right="126"/>
        <w:jc w:val="both"/>
      </w:pPr>
      <w:r>
        <w:t>Secondo l’a</w:t>
      </w:r>
      <w:r w:rsidRPr="00C228C5">
        <w:t>rt</w:t>
      </w:r>
      <w:r>
        <w:t>.</w:t>
      </w:r>
      <w:r w:rsidRPr="00C228C5">
        <w:t xml:space="preserve"> 61</w:t>
      </w:r>
      <w:r>
        <w:t>,</w:t>
      </w:r>
      <w:r w:rsidRPr="00C228C5">
        <w:t xml:space="preserve"> </w:t>
      </w:r>
      <w:r>
        <w:t>comma 2 g</w:t>
      </w:r>
      <w:r w:rsidR="00166BB7" w:rsidRPr="00EA213D">
        <w:t>li studi sono ammissibili solo se correlati a uno specifico intervento del programma o agli obiettivi specifici dello stesso.</w:t>
      </w:r>
    </w:p>
    <w:p w:rsidR="004D7111" w:rsidRDefault="004D7111" w:rsidP="00273BE4">
      <w:pPr>
        <w:pStyle w:val="Titolo2"/>
        <w:tabs>
          <w:tab w:val="left" w:pos="720"/>
        </w:tabs>
        <w:ind w:left="720" w:right="126" w:hanging="720"/>
      </w:pPr>
    </w:p>
    <w:p w:rsidR="00B147E0" w:rsidRDefault="003532E2" w:rsidP="00273BE4">
      <w:pPr>
        <w:pStyle w:val="Titolo2"/>
        <w:tabs>
          <w:tab w:val="left" w:pos="720"/>
        </w:tabs>
        <w:ind w:left="720" w:right="126" w:hanging="720"/>
      </w:pPr>
      <w:bookmarkStart w:id="14" w:name="_Toc432090707"/>
      <w:r w:rsidRPr="00A8483C">
        <w:t>3</w:t>
      </w:r>
      <w:r w:rsidR="00B16E8D" w:rsidRPr="00A8483C">
        <w:t>.</w:t>
      </w:r>
      <w:r w:rsidR="000B3122">
        <w:t>4</w:t>
      </w:r>
      <w:r w:rsidR="00B16E8D" w:rsidRPr="00EA213D">
        <w:rPr>
          <w:b w:val="0"/>
        </w:rPr>
        <w:t xml:space="preserve"> </w:t>
      </w:r>
      <w:r w:rsidR="00C7633E" w:rsidRPr="00EA213D">
        <w:rPr>
          <w:b w:val="0"/>
        </w:rPr>
        <w:tab/>
      </w:r>
      <w:r w:rsidR="00B16E8D" w:rsidRPr="00A8483C">
        <w:t>A</w:t>
      </w:r>
      <w:r w:rsidR="00B147E0" w:rsidRPr="00A8483C">
        <w:t xml:space="preserve">cquisto di </w:t>
      </w:r>
      <w:r w:rsidR="00DE5EC7" w:rsidRPr="00C228C5">
        <w:t>attrezzature di seconda mano</w:t>
      </w:r>
      <w:bookmarkEnd w:id="14"/>
    </w:p>
    <w:p w:rsidR="00DE5EC7" w:rsidRDefault="00DE5EC7" w:rsidP="00DE5EC7">
      <w:pPr>
        <w:tabs>
          <w:tab w:val="left" w:pos="1125"/>
          <w:tab w:val="right" w:pos="8672"/>
        </w:tabs>
        <w:spacing w:before="120"/>
        <w:ind w:right="126"/>
        <w:jc w:val="both"/>
        <w:rPr>
          <w:snapToGrid w:val="0"/>
        </w:rPr>
      </w:pPr>
      <w:r>
        <w:rPr>
          <w:snapToGrid w:val="0"/>
        </w:rPr>
        <w:t>Secondo quanto indicato nell</w:t>
      </w:r>
      <w:r w:rsidR="008B6820">
        <w:rPr>
          <w:snapToGrid w:val="0"/>
        </w:rPr>
        <w:t>’art. 13</w:t>
      </w:r>
      <w:r w:rsidR="000B3122">
        <w:rPr>
          <w:snapToGrid w:val="0"/>
        </w:rPr>
        <w:t>,</w:t>
      </w:r>
      <w:r w:rsidR="008B6820">
        <w:rPr>
          <w:snapToGrid w:val="0"/>
        </w:rPr>
        <w:t xml:space="preserve"> lettera</w:t>
      </w:r>
      <w:r>
        <w:rPr>
          <w:snapToGrid w:val="0"/>
        </w:rPr>
        <w:t xml:space="preserve"> b) del Reg. </w:t>
      </w:r>
      <w:r w:rsidR="000B3122">
        <w:rPr>
          <w:snapToGrid w:val="0"/>
        </w:rPr>
        <w:t xml:space="preserve">delegato (UE) n. </w:t>
      </w:r>
      <w:r>
        <w:rPr>
          <w:snapToGrid w:val="0"/>
        </w:rPr>
        <w:t>807/2014 sono gli Stati membri che stabiliscono nei loro programm</w:t>
      </w:r>
      <w:r w:rsidR="008B6820">
        <w:rPr>
          <w:snapToGrid w:val="0"/>
        </w:rPr>
        <w:t>i</w:t>
      </w:r>
      <w:r>
        <w:rPr>
          <w:snapToGrid w:val="0"/>
        </w:rPr>
        <w:t xml:space="preserve"> di sviluppo rurale le condizioni alle quali l’acquisto di attrezzature di seconda mano può essere considerato una spesa ammissibile</w:t>
      </w:r>
      <w:r w:rsidR="008B6820">
        <w:rPr>
          <w:snapToGrid w:val="0"/>
        </w:rPr>
        <w:t>.</w:t>
      </w:r>
    </w:p>
    <w:p w:rsidR="00C75C2A" w:rsidRPr="007E6873" w:rsidRDefault="00A108CF">
      <w:pPr>
        <w:tabs>
          <w:tab w:val="left" w:pos="1125"/>
          <w:tab w:val="right" w:pos="8672"/>
        </w:tabs>
        <w:spacing w:before="120"/>
        <w:ind w:right="126"/>
        <w:jc w:val="both"/>
        <w:rPr>
          <w:snapToGrid w:val="0"/>
        </w:rPr>
      </w:pPr>
      <w:r>
        <w:rPr>
          <w:snapToGrid w:val="0"/>
        </w:rPr>
        <w:t>In linea generale</w:t>
      </w:r>
      <w:r w:rsidR="00DE5EC7">
        <w:rPr>
          <w:snapToGrid w:val="0"/>
        </w:rPr>
        <w:t xml:space="preserve"> </w:t>
      </w:r>
      <w:r>
        <w:rPr>
          <w:snapToGrid w:val="0"/>
        </w:rPr>
        <w:t xml:space="preserve">e salvo quanto disposto nei programmi di sviluppo rurale, </w:t>
      </w:r>
      <w:r w:rsidR="009F5926">
        <w:rPr>
          <w:snapToGrid w:val="0"/>
        </w:rPr>
        <w:t>l</w:t>
      </w:r>
      <w:r w:rsidR="00EC058A">
        <w:rPr>
          <w:snapToGrid w:val="0"/>
        </w:rPr>
        <w:t>’</w:t>
      </w:r>
      <w:r w:rsidR="00C75C2A" w:rsidRPr="007E6873">
        <w:rPr>
          <w:snapToGrid w:val="0"/>
        </w:rPr>
        <w:t xml:space="preserve">acquisto di </w:t>
      </w:r>
      <w:r w:rsidR="00B16E8D" w:rsidRPr="007E6873">
        <w:rPr>
          <w:snapToGrid w:val="0"/>
        </w:rPr>
        <w:t xml:space="preserve">attrezzature o materiale usato </w:t>
      </w:r>
      <w:r>
        <w:rPr>
          <w:snapToGrid w:val="0"/>
        </w:rPr>
        <w:t>è</w:t>
      </w:r>
      <w:r w:rsidR="009F5926">
        <w:rPr>
          <w:snapToGrid w:val="0"/>
        </w:rPr>
        <w:t xml:space="preserve"> </w:t>
      </w:r>
      <w:r w:rsidR="00C75C2A" w:rsidRPr="007E6873">
        <w:rPr>
          <w:snapToGrid w:val="0"/>
        </w:rPr>
        <w:t>ammissibile a cofinanziamento</w:t>
      </w:r>
      <w:r w:rsidR="00040A3B" w:rsidRPr="007E6873">
        <w:rPr>
          <w:snapToGrid w:val="0"/>
        </w:rPr>
        <w:t xml:space="preserve"> </w:t>
      </w:r>
      <w:r w:rsidR="00C75C2A" w:rsidRPr="007E6873">
        <w:rPr>
          <w:snapToGrid w:val="0"/>
        </w:rPr>
        <w:t xml:space="preserve">qualora </w:t>
      </w:r>
      <w:r w:rsidR="00802A14" w:rsidRPr="007E6873">
        <w:rPr>
          <w:snapToGrid w:val="0"/>
        </w:rPr>
        <w:t>il beneficiario sia una microimpresa</w:t>
      </w:r>
      <w:r w:rsidR="00AF0C4D">
        <w:rPr>
          <w:rStyle w:val="Rimandonotaapidipagina"/>
          <w:snapToGrid w:val="0"/>
        </w:rPr>
        <w:footnoteReference w:id="3"/>
      </w:r>
      <w:r w:rsidR="00802A14" w:rsidRPr="007E6873">
        <w:rPr>
          <w:snapToGrid w:val="0"/>
        </w:rPr>
        <w:t>, una piccola o medio impresa</w:t>
      </w:r>
      <w:r w:rsidR="00A40E54">
        <w:rPr>
          <w:rStyle w:val="Rimandonotaapidipagina"/>
          <w:snapToGrid w:val="0"/>
        </w:rPr>
        <w:footnoteReference w:id="4"/>
      </w:r>
      <w:r w:rsidR="00802A14" w:rsidRPr="007E6873">
        <w:rPr>
          <w:snapToGrid w:val="0"/>
        </w:rPr>
        <w:t xml:space="preserve"> e </w:t>
      </w:r>
      <w:r w:rsidR="00C75C2A" w:rsidRPr="007E6873">
        <w:rPr>
          <w:snapToGrid w:val="0"/>
        </w:rPr>
        <w:t xml:space="preserve">siano rispettate </w:t>
      </w:r>
      <w:r w:rsidR="00B16E8D" w:rsidRPr="007E6873">
        <w:rPr>
          <w:snapToGrid w:val="0"/>
        </w:rPr>
        <w:t>le seguenti</w:t>
      </w:r>
      <w:r w:rsidR="00C75C2A" w:rsidRPr="007E6873">
        <w:rPr>
          <w:snapToGrid w:val="0"/>
        </w:rPr>
        <w:t xml:space="preserve"> condizioni</w:t>
      </w:r>
      <w:r w:rsidR="00B16E8D" w:rsidRPr="007E6873">
        <w:rPr>
          <w:snapToGrid w:val="0"/>
        </w:rPr>
        <w:t>:</w:t>
      </w:r>
    </w:p>
    <w:p w:rsidR="00E864B5" w:rsidRPr="007330CB" w:rsidRDefault="00734906" w:rsidP="0093020D">
      <w:pPr>
        <w:numPr>
          <w:ilvl w:val="0"/>
          <w:numId w:val="2"/>
        </w:numPr>
        <w:tabs>
          <w:tab w:val="clear" w:pos="720"/>
          <w:tab w:val="num" w:pos="540"/>
          <w:tab w:val="left" w:pos="567"/>
          <w:tab w:val="right" w:pos="8672"/>
        </w:tabs>
        <w:spacing w:before="120"/>
        <w:ind w:left="540" w:right="126" w:hanging="540"/>
        <w:jc w:val="both"/>
        <w:rPr>
          <w:snapToGrid w:val="0"/>
        </w:rPr>
      </w:pPr>
      <w:r>
        <w:rPr>
          <w:snapToGrid w:val="0"/>
        </w:rPr>
        <w:t xml:space="preserve">il </w:t>
      </w:r>
      <w:r w:rsidR="00C83284" w:rsidRPr="00C83284">
        <w:rPr>
          <w:snapToGrid w:val="0"/>
        </w:rPr>
        <w:t>bene non abbia già beneficiato di</w:t>
      </w:r>
      <w:r w:rsidR="00C75C2A" w:rsidRPr="007E6873">
        <w:rPr>
          <w:snapToGrid w:val="0"/>
        </w:rPr>
        <w:t xml:space="preserve"> un precedente contributo nazionale o comunitario</w:t>
      </w:r>
      <w:r w:rsidR="00117ED8">
        <w:rPr>
          <w:snapToGrid w:val="0"/>
        </w:rPr>
        <w:t xml:space="preserve"> </w:t>
      </w:r>
      <w:r w:rsidR="00117ED8" w:rsidRPr="007330CB">
        <w:rPr>
          <w:snapToGrid w:val="0"/>
        </w:rPr>
        <w:t xml:space="preserve">erogato nei </w:t>
      </w:r>
      <w:r w:rsidR="00A108CF" w:rsidRPr="00A01342">
        <w:rPr>
          <w:snapToGrid w:val="0"/>
        </w:rPr>
        <w:t>dieci</w:t>
      </w:r>
      <w:r w:rsidR="00395613" w:rsidRPr="007330CB">
        <w:rPr>
          <w:snapToGrid w:val="0"/>
        </w:rPr>
        <w:t xml:space="preserve"> anni precedenti</w:t>
      </w:r>
      <w:r w:rsidR="00430BA1" w:rsidRPr="007330CB">
        <w:rPr>
          <w:snapToGrid w:val="0"/>
        </w:rPr>
        <w:t xml:space="preserve">. La decorrenza dei sette anni </w:t>
      </w:r>
      <w:r w:rsidR="00290078" w:rsidRPr="007330CB">
        <w:rPr>
          <w:snapToGrid w:val="0"/>
        </w:rPr>
        <w:t>è</w:t>
      </w:r>
      <w:r w:rsidR="00430BA1" w:rsidRPr="007330CB">
        <w:rPr>
          <w:snapToGrid w:val="0"/>
        </w:rPr>
        <w:t xml:space="preserve"> calcolata dal</w:t>
      </w:r>
      <w:r w:rsidR="00117ED8" w:rsidRPr="007330CB">
        <w:rPr>
          <w:snapToGrid w:val="0"/>
        </w:rPr>
        <w:t xml:space="preserve">la data </w:t>
      </w:r>
      <w:r w:rsidR="00117ED8" w:rsidRPr="007330CB">
        <w:rPr>
          <w:snapToGrid w:val="0"/>
        </w:rPr>
        <w:lastRenderedPageBreak/>
        <w:t>dell’</w:t>
      </w:r>
      <w:r w:rsidR="00430BA1" w:rsidRPr="007330CB">
        <w:rPr>
          <w:snapToGrid w:val="0"/>
        </w:rPr>
        <w:t>acquisto del bene</w:t>
      </w:r>
      <w:r w:rsidR="00117ED8" w:rsidRPr="007330CB">
        <w:rPr>
          <w:snapToGrid w:val="0"/>
        </w:rPr>
        <w:t xml:space="preserve">. </w:t>
      </w:r>
      <w:r w:rsidR="00802A14" w:rsidRPr="007330CB">
        <w:rPr>
          <w:snapToGrid w:val="0"/>
        </w:rPr>
        <w:t xml:space="preserve">A tale scopo, </w:t>
      </w:r>
      <w:r w:rsidR="00EE04D8" w:rsidRPr="007330CB">
        <w:rPr>
          <w:snapToGrid w:val="0"/>
        </w:rPr>
        <w:t>il venditore del</w:t>
      </w:r>
      <w:r w:rsidR="00E40D30" w:rsidRPr="007330CB">
        <w:rPr>
          <w:snapToGrid w:val="0"/>
        </w:rPr>
        <w:t>lo stesso</w:t>
      </w:r>
      <w:r w:rsidR="00EE04D8" w:rsidRPr="007330CB">
        <w:rPr>
          <w:snapToGrid w:val="0"/>
        </w:rPr>
        <w:t xml:space="preserve"> dovrà produrre una dichiarazione che attesti il rispetto di tale condizione</w:t>
      </w:r>
      <w:r w:rsidR="00395613" w:rsidRPr="007330CB">
        <w:rPr>
          <w:snapToGrid w:val="0"/>
        </w:rPr>
        <w:t xml:space="preserve">; </w:t>
      </w:r>
    </w:p>
    <w:p w:rsidR="00E864B5" w:rsidRPr="007E6873" w:rsidRDefault="00C75C2A" w:rsidP="0093020D">
      <w:pPr>
        <w:numPr>
          <w:ilvl w:val="0"/>
          <w:numId w:val="2"/>
        </w:numPr>
        <w:tabs>
          <w:tab w:val="clear" w:pos="720"/>
        </w:tabs>
        <w:spacing w:before="120"/>
        <w:ind w:left="540" w:right="126" w:hanging="540"/>
        <w:jc w:val="both"/>
        <w:rPr>
          <w:snapToGrid w:val="0"/>
        </w:rPr>
      </w:pPr>
      <w:r w:rsidRPr="007E6873">
        <w:rPr>
          <w:snapToGrid w:val="0"/>
        </w:rPr>
        <w:t>l’acquisto sia vantaggioso rispetto all’acquisto di materiale nuovo equivalente e rispetto ai prezzi correnti di mercato</w:t>
      </w:r>
      <w:r w:rsidR="00EE04D8" w:rsidRPr="007E6873">
        <w:rPr>
          <w:snapToGrid w:val="0"/>
        </w:rPr>
        <w:t>. Il beneficiario dovrà perta</w:t>
      </w:r>
      <w:r w:rsidR="000568E8">
        <w:rPr>
          <w:snapToGrid w:val="0"/>
        </w:rPr>
        <w:t>nto produrre una dichiarazione</w:t>
      </w:r>
      <w:r w:rsidR="00EE04D8" w:rsidRPr="007E6873">
        <w:rPr>
          <w:snapToGrid w:val="0"/>
        </w:rPr>
        <w:t xml:space="preserve"> che attesti la </w:t>
      </w:r>
      <w:r w:rsidR="00224344" w:rsidRPr="007E6873">
        <w:rPr>
          <w:snapToGrid w:val="0"/>
        </w:rPr>
        <w:t>convenienza</w:t>
      </w:r>
      <w:r w:rsidR="00EE04D8" w:rsidRPr="007E6873">
        <w:rPr>
          <w:snapToGrid w:val="0"/>
        </w:rPr>
        <w:t xml:space="preserve"> dell’acquisto</w:t>
      </w:r>
      <w:r w:rsidR="00E864B5" w:rsidRPr="007E6873">
        <w:rPr>
          <w:snapToGrid w:val="0"/>
        </w:rPr>
        <w:t>;</w:t>
      </w:r>
    </w:p>
    <w:p w:rsidR="00395613" w:rsidRPr="007E6873" w:rsidRDefault="00E864B5" w:rsidP="0093020D">
      <w:pPr>
        <w:numPr>
          <w:ilvl w:val="0"/>
          <w:numId w:val="2"/>
        </w:numPr>
        <w:tabs>
          <w:tab w:val="clear" w:pos="720"/>
          <w:tab w:val="num" w:pos="540"/>
          <w:tab w:val="left" w:pos="567"/>
          <w:tab w:val="right" w:pos="8672"/>
        </w:tabs>
        <w:spacing w:before="120"/>
        <w:ind w:left="540" w:right="126" w:hanging="540"/>
        <w:jc w:val="both"/>
        <w:rPr>
          <w:snapToGrid w:val="0"/>
        </w:rPr>
      </w:pPr>
      <w:r w:rsidRPr="007E6873">
        <w:rPr>
          <w:snapToGrid w:val="0"/>
        </w:rPr>
        <w:t>le caratteristiche del materiale usato siano adeguate alle esigenze dell’operazione e conformi alle norme vigenti.</w:t>
      </w:r>
      <w:r w:rsidR="00EE04D8" w:rsidRPr="007E6873">
        <w:rPr>
          <w:snapToGrid w:val="0"/>
        </w:rPr>
        <w:t xml:space="preserve"> Anche in questo caso occorre allegare </w:t>
      </w:r>
      <w:r w:rsidR="00C327B5" w:rsidRPr="007E6873">
        <w:rPr>
          <w:snapToGrid w:val="0"/>
        </w:rPr>
        <w:t>al fascicolo</w:t>
      </w:r>
      <w:r w:rsidR="007E6873" w:rsidRPr="007E6873">
        <w:rPr>
          <w:snapToGrid w:val="0"/>
        </w:rPr>
        <w:t xml:space="preserve"> </w:t>
      </w:r>
      <w:r w:rsidR="00EE04D8" w:rsidRPr="007E6873">
        <w:rPr>
          <w:snapToGrid w:val="0"/>
        </w:rPr>
        <w:t>una dichiarazione di che indichi la rispondenza delle ca</w:t>
      </w:r>
      <w:r w:rsidR="00C327B5" w:rsidRPr="007E6873">
        <w:rPr>
          <w:snapToGrid w:val="0"/>
        </w:rPr>
        <w:t>ratteristich</w:t>
      </w:r>
      <w:r w:rsidR="005F0643">
        <w:rPr>
          <w:snapToGrid w:val="0"/>
        </w:rPr>
        <w:t>e tecniche del bene.</w:t>
      </w:r>
    </w:p>
    <w:p w:rsidR="007B3304" w:rsidRPr="00C75108" w:rsidRDefault="007B3304" w:rsidP="00273BE4">
      <w:pPr>
        <w:tabs>
          <w:tab w:val="num" w:pos="540"/>
        </w:tabs>
        <w:ind w:right="126"/>
        <w:jc w:val="both"/>
      </w:pPr>
    </w:p>
    <w:p w:rsidR="00640F3D" w:rsidRPr="00640F3D" w:rsidRDefault="00640F3D" w:rsidP="00640F3D"/>
    <w:p w:rsidR="008D278F" w:rsidRDefault="003532E2" w:rsidP="00273BE4">
      <w:pPr>
        <w:pStyle w:val="Titolo2"/>
        <w:tabs>
          <w:tab w:val="left" w:pos="720"/>
        </w:tabs>
        <w:ind w:left="720" w:right="126" w:hanging="720"/>
      </w:pPr>
      <w:bookmarkStart w:id="15" w:name="_Toc432090708"/>
      <w:r>
        <w:t>3</w:t>
      </w:r>
      <w:r w:rsidR="00B16E8D" w:rsidRPr="00B16E8D">
        <w:t>.</w:t>
      </w:r>
      <w:r w:rsidR="000B3122">
        <w:t>5</w:t>
      </w:r>
      <w:r w:rsidR="00C327B5">
        <w:tab/>
      </w:r>
      <w:r w:rsidR="00B16E8D">
        <w:t>A</w:t>
      </w:r>
      <w:r w:rsidR="008D278F" w:rsidRPr="008469A8">
        <w:t>cquisto di terreni</w:t>
      </w:r>
      <w:bookmarkEnd w:id="15"/>
    </w:p>
    <w:p w:rsidR="0037360D" w:rsidRPr="007A44F2" w:rsidRDefault="00B16E8D" w:rsidP="00273BE4">
      <w:pPr>
        <w:spacing w:before="120"/>
        <w:ind w:right="126"/>
        <w:jc w:val="both"/>
        <w:rPr>
          <w:i/>
        </w:rPr>
      </w:pPr>
      <w:r w:rsidRPr="007E6873">
        <w:t xml:space="preserve">L’art. </w:t>
      </w:r>
      <w:r w:rsidR="00536BA1">
        <w:t>69</w:t>
      </w:r>
      <w:r w:rsidRPr="007E6873">
        <w:t>, comma</w:t>
      </w:r>
      <w:r w:rsidR="00F20568" w:rsidRPr="007E6873">
        <w:t xml:space="preserve"> </w:t>
      </w:r>
      <w:r w:rsidRPr="007E6873">
        <w:t xml:space="preserve">3, punto </w:t>
      </w:r>
      <w:r w:rsidR="00536BA1">
        <w:t>b</w:t>
      </w:r>
      <w:r w:rsidRPr="007E6873">
        <w:t xml:space="preserve">) del Reg. </w:t>
      </w:r>
      <w:r w:rsidR="0092783E">
        <w:t>(</w:t>
      </w:r>
      <w:r w:rsidRPr="007E6873">
        <w:t>CE</w:t>
      </w:r>
      <w:r w:rsidR="0092783E">
        <w:t>)</w:t>
      </w:r>
      <w:r w:rsidRPr="007E6873">
        <w:t xml:space="preserve"> n. </w:t>
      </w:r>
      <w:r w:rsidR="00536BA1">
        <w:t>1303</w:t>
      </w:r>
      <w:r w:rsidRPr="007E6873">
        <w:t>/</w:t>
      </w:r>
      <w:r w:rsidR="000B3122">
        <w:t>201</w:t>
      </w:r>
      <w:r w:rsidR="00536BA1">
        <w:t>3</w:t>
      </w:r>
      <w:r w:rsidR="00536BA1" w:rsidRPr="007E6873">
        <w:t xml:space="preserve"> </w:t>
      </w:r>
      <w:r w:rsidRPr="007E6873">
        <w:t xml:space="preserve">dispone che </w:t>
      </w:r>
      <w:r w:rsidR="00C327B5" w:rsidRPr="007E6873">
        <w:t>l’acquisto dei terreni</w:t>
      </w:r>
      <w:r w:rsidR="00536BA1">
        <w:t xml:space="preserve"> non edificati e di terreni edificati</w:t>
      </w:r>
      <w:r w:rsidR="00C327B5" w:rsidRPr="007E6873">
        <w:t xml:space="preserve"> </w:t>
      </w:r>
      <w:r w:rsidR="00462D8C" w:rsidRPr="007E6873">
        <w:t xml:space="preserve">è ammissibile al contributo del FEASR </w:t>
      </w:r>
      <w:r w:rsidR="00C327B5" w:rsidRPr="007E6873">
        <w:t xml:space="preserve">nei limiti del </w:t>
      </w:r>
      <w:r w:rsidR="00462D8C" w:rsidRPr="007E6873">
        <w:t>“</w:t>
      </w:r>
      <w:r w:rsidR="00462D8C" w:rsidRPr="007E6873">
        <w:rPr>
          <w:i/>
        </w:rPr>
        <w:t>10% del totale delle spese ammissibili relative al</w:t>
      </w:r>
      <w:r w:rsidR="00195322">
        <w:rPr>
          <w:i/>
        </w:rPr>
        <w:t>l</w:t>
      </w:r>
      <w:r w:rsidR="00462D8C" w:rsidRPr="007E6873">
        <w:rPr>
          <w:i/>
        </w:rPr>
        <w:t>a operazione considerata</w:t>
      </w:r>
      <w:r w:rsidR="00462D8C" w:rsidRPr="00536BA1">
        <w:rPr>
          <w:i/>
        </w:rPr>
        <w:t xml:space="preserve">. </w:t>
      </w:r>
      <w:r w:rsidR="00C271A0" w:rsidRPr="00EA213D">
        <w:rPr>
          <w:i/>
        </w:rPr>
        <w:t>In casi eccezionali e debitamente giustificati può essere fissata una percentuale più elevata per operazioni di tutela dell’ambiente.”</w:t>
      </w:r>
      <w:r w:rsidR="007A44F2">
        <w:rPr>
          <w:i/>
        </w:rPr>
        <w:t xml:space="preserve"> </w:t>
      </w:r>
      <w:r w:rsidR="0037360D">
        <w:t>Lo stesso concetto è riportato anche nell’art. 4 del Reg. delegato (UE) n. 480/2014.</w:t>
      </w:r>
    </w:p>
    <w:p w:rsidR="004B4F85" w:rsidRDefault="00294734" w:rsidP="00273BE4">
      <w:pPr>
        <w:spacing w:before="120"/>
        <w:ind w:right="126"/>
        <w:jc w:val="both"/>
      </w:pPr>
      <w:r>
        <w:t>Le</w:t>
      </w:r>
      <w:r w:rsidR="00E864B5" w:rsidRPr="007E6873">
        <w:t xml:space="preserve"> spese relative all’acquisto di terreni</w:t>
      </w:r>
      <w:r w:rsidR="000F3500">
        <w:t>, ivi incluse le indennità di esproprio</w:t>
      </w:r>
      <w:r w:rsidR="00A800BA">
        <w:t xml:space="preserve"> per pubblica utilità</w:t>
      </w:r>
      <w:r w:rsidR="000F3500">
        <w:t>,</w:t>
      </w:r>
      <w:r w:rsidR="00C228C5">
        <w:t xml:space="preserve"> </w:t>
      </w:r>
      <w:r w:rsidR="00043CD1">
        <w:t xml:space="preserve">sono ammissibili </w:t>
      </w:r>
      <w:r>
        <w:t>nei limiti del 10</w:t>
      </w:r>
      <w:r w:rsidR="00043CD1">
        <w:t xml:space="preserve">% del </w:t>
      </w:r>
      <w:r>
        <w:t xml:space="preserve">costo </w:t>
      </w:r>
      <w:r w:rsidR="00043CD1">
        <w:t>totale dell</w:t>
      </w:r>
      <w:r>
        <w:t>’</w:t>
      </w:r>
      <w:r w:rsidR="00043CD1">
        <w:t>operazione considerata</w:t>
      </w:r>
      <w:r w:rsidR="004B4F85">
        <w:t>.</w:t>
      </w:r>
      <w:r w:rsidR="00E864B5" w:rsidRPr="007E6873">
        <w:t xml:space="preserve"> </w:t>
      </w:r>
      <w:r w:rsidR="004B4F85">
        <w:t>In casi eccezionali e debitamente giustificati</w:t>
      </w:r>
      <w:r>
        <w:t>,</w:t>
      </w:r>
      <w:r w:rsidR="004B4F85">
        <w:t xml:space="preserve"> </w:t>
      </w:r>
      <w:r w:rsidR="00495283">
        <w:t xml:space="preserve">alle condizioni stabilite da ciascun Psr, </w:t>
      </w:r>
      <w:r w:rsidR="004B4F85">
        <w:t xml:space="preserve">l’Autorità di gestione può fissare una percentuale più elevata per </w:t>
      </w:r>
      <w:r>
        <w:t>operazioni finalizzate al</w:t>
      </w:r>
      <w:r w:rsidR="004B4F85">
        <w:t xml:space="preserve">la conservazione dell’ambiente. </w:t>
      </w:r>
    </w:p>
    <w:p w:rsidR="00E864B5" w:rsidRPr="007E6873" w:rsidRDefault="00294734" w:rsidP="00273BE4">
      <w:pPr>
        <w:spacing w:before="120"/>
        <w:ind w:right="126"/>
        <w:jc w:val="both"/>
      </w:pPr>
      <w:r>
        <w:t xml:space="preserve">In ogni caso, l’acquisto dei terreni è </w:t>
      </w:r>
      <w:r w:rsidR="004B4F85">
        <w:t>ammissibil</w:t>
      </w:r>
      <w:r>
        <w:t>e</w:t>
      </w:r>
      <w:r w:rsidR="004B4F85">
        <w:t xml:space="preserve"> se sono rispettate le seguenti condizioni:</w:t>
      </w:r>
    </w:p>
    <w:p w:rsidR="00DD2BBA" w:rsidRPr="007E6873" w:rsidRDefault="00294734" w:rsidP="0093020D">
      <w:pPr>
        <w:numPr>
          <w:ilvl w:val="0"/>
          <w:numId w:val="8"/>
        </w:numPr>
        <w:tabs>
          <w:tab w:val="clear" w:pos="720"/>
        </w:tabs>
        <w:spacing w:before="120"/>
        <w:ind w:left="540" w:right="126" w:hanging="540"/>
        <w:jc w:val="both"/>
      </w:pPr>
      <w:r>
        <w:t>attestazione</w:t>
      </w:r>
      <w:r w:rsidR="004B4F85">
        <w:t xml:space="preserve"> di </w:t>
      </w:r>
      <w:r w:rsidR="00DD2BBA" w:rsidRPr="007E6873">
        <w:t xml:space="preserve">un </w:t>
      </w:r>
      <w:r>
        <w:t>tecnico</w:t>
      </w:r>
      <w:r w:rsidR="00DD2BBA" w:rsidRPr="007E6873">
        <w:t xml:space="preserve"> qualificato indipendente o </w:t>
      </w:r>
      <w:r w:rsidR="004B4F85">
        <w:t xml:space="preserve">di </w:t>
      </w:r>
      <w:r w:rsidR="00DD2BBA" w:rsidRPr="007E6873">
        <w:t xml:space="preserve">un organismo debitamente autorizzato, </w:t>
      </w:r>
      <w:r>
        <w:t xml:space="preserve">con cui si dimostri </w:t>
      </w:r>
      <w:r w:rsidR="00DD2BBA" w:rsidRPr="007E6873">
        <w:t>che il prezzo di acquisto non sia superiore al valore di mercato;</w:t>
      </w:r>
      <w:r w:rsidR="00BB18EF">
        <w:t xml:space="preserve"> nel caso in cui il prezzo di acquisto sia superiore, l’importo massimo ammissibile è pari a quello di mercato</w:t>
      </w:r>
      <w:r w:rsidR="002E1B54">
        <w:t>.</w:t>
      </w:r>
    </w:p>
    <w:p w:rsidR="00DD2BBA" w:rsidRPr="007E6873" w:rsidRDefault="00E2194D" w:rsidP="0093020D">
      <w:pPr>
        <w:numPr>
          <w:ilvl w:val="0"/>
          <w:numId w:val="8"/>
        </w:numPr>
        <w:tabs>
          <w:tab w:val="clear" w:pos="720"/>
          <w:tab w:val="left" w:pos="540"/>
        </w:tabs>
        <w:spacing w:before="120"/>
        <w:ind w:left="540" w:right="126" w:hanging="540"/>
        <w:jc w:val="both"/>
      </w:pPr>
      <w:r>
        <w:t xml:space="preserve">esistenza </w:t>
      </w:r>
      <w:r w:rsidR="0009016E">
        <w:t xml:space="preserve">di un nesso diretto tra l’acquisto del terreno e gli obiettivi dell’operazione e </w:t>
      </w:r>
      <w:r>
        <w:t xml:space="preserve">di </w:t>
      </w:r>
      <w:r w:rsidR="0009016E">
        <w:t xml:space="preserve"> un</w:t>
      </w:r>
      <w:r w:rsidR="0075088A">
        <w:t xml:space="preserve"> periodo minimo di destinazione</w:t>
      </w:r>
      <w:r w:rsidR="00734906">
        <w:t>.</w:t>
      </w:r>
    </w:p>
    <w:p w:rsidR="00F155DD" w:rsidRPr="00304EF7" w:rsidRDefault="003532E2" w:rsidP="00273BE4">
      <w:pPr>
        <w:pStyle w:val="Titolo2"/>
        <w:tabs>
          <w:tab w:val="left" w:pos="720"/>
        </w:tabs>
        <w:ind w:left="720" w:right="126" w:hanging="720"/>
      </w:pPr>
      <w:bookmarkStart w:id="16" w:name="_Toc432090709"/>
      <w:r>
        <w:t>3</w:t>
      </w:r>
      <w:r w:rsidR="00F155DD" w:rsidRPr="00DD2BBA">
        <w:t>.</w:t>
      </w:r>
      <w:r w:rsidR="006222C7">
        <w:t>6</w:t>
      </w:r>
      <w:r w:rsidR="00F155DD" w:rsidRPr="00DD2BBA">
        <w:t xml:space="preserve"> </w:t>
      </w:r>
      <w:r w:rsidR="005F0643">
        <w:tab/>
      </w:r>
      <w:r w:rsidR="00F155DD">
        <w:t>A</w:t>
      </w:r>
      <w:r w:rsidR="00F155DD" w:rsidRPr="00304EF7">
        <w:t>cquisto di beni immobili</w:t>
      </w:r>
      <w:bookmarkEnd w:id="16"/>
      <w:r w:rsidR="00F155DD" w:rsidRPr="00304EF7">
        <w:t xml:space="preserve"> </w:t>
      </w:r>
    </w:p>
    <w:p w:rsidR="00CA54CE" w:rsidRPr="00561B29" w:rsidRDefault="00CA54CE" w:rsidP="004D7111">
      <w:pPr>
        <w:ind w:right="126"/>
        <w:jc w:val="both"/>
        <w:rPr>
          <w:i/>
        </w:rPr>
      </w:pPr>
      <w:r w:rsidRPr="008B6820">
        <w:t xml:space="preserve">L’art. </w:t>
      </w:r>
      <w:r w:rsidR="00B70CA6" w:rsidRPr="008B6820">
        <w:t>45</w:t>
      </w:r>
      <w:r w:rsidRPr="008B6820">
        <w:t xml:space="preserve">, comma </w:t>
      </w:r>
      <w:r w:rsidR="00B70CA6" w:rsidRPr="008B6820">
        <w:t>2</w:t>
      </w:r>
      <w:r w:rsidRPr="008B6820">
        <w:t xml:space="preserve">, lettera a) del Reg. CE n. </w:t>
      </w:r>
      <w:r w:rsidR="00B70CA6" w:rsidRPr="008B6820">
        <w:t>1305</w:t>
      </w:r>
      <w:r w:rsidRPr="008B6820">
        <w:t>/</w:t>
      </w:r>
      <w:r w:rsidR="006222C7">
        <w:t>20</w:t>
      </w:r>
      <w:r w:rsidR="00B70CA6" w:rsidRPr="008B6820">
        <w:t>13</w:t>
      </w:r>
      <w:r w:rsidR="006222C7">
        <w:t>,</w:t>
      </w:r>
      <w:r w:rsidRPr="008B6820">
        <w:t xml:space="preserve"> </w:t>
      </w:r>
      <w:r w:rsidR="00561B29" w:rsidRPr="008B6820">
        <w:t xml:space="preserve">dispone, nel caso di investimenti, la </w:t>
      </w:r>
      <w:r w:rsidRPr="008B6820">
        <w:t xml:space="preserve"> limita</w:t>
      </w:r>
      <w:r w:rsidR="00561B29" w:rsidRPr="008B6820">
        <w:t xml:space="preserve">zione di </w:t>
      </w:r>
      <w:r w:rsidRPr="008B6820">
        <w:t>ammissibilità della spesa alle seguenti voci:</w:t>
      </w:r>
      <w:r w:rsidRPr="00561B29">
        <w:rPr>
          <w:i/>
        </w:rPr>
        <w:t xml:space="preserve"> </w:t>
      </w:r>
      <w:r w:rsidRPr="008B6820">
        <w:t>costruzione,</w:t>
      </w:r>
      <w:r w:rsidRPr="00561B29">
        <w:rPr>
          <w:i/>
        </w:rPr>
        <w:t xml:space="preserve"> acquisizione</w:t>
      </w:r>
      <w:r w:rsidR="008B6820">
        <w:rPr>
          <w:i/>
        </w:rPr>
        <w:t>,</w:t>
      </w:r>
      <w:r w:rsidRPr="00561B29">
        <w:rPr>
          <w:i/>
        </w:rPr>
        <w:t xml:space="preserve"> </w:t>
      </w:r>
      <w:r w:rsidRPr="008B6820">
        <w:t>incluso il leasing,</w:t>
      </w:r>
      <w:r w:rsidRPr="00561B29">
        <w:rPr>
          <w:i/>
        </w:rPr>
        <w:t xml:space="preserve"> </w:t>
      </w:r>
      <w:r w:rsidRPr="008B6820">
        <w:t xml:space="preserve">o miglioramento </w:t>
      </w:r>
      <w:r w:rsidRPr="00561B29">
        <w:rPr>
          <w:i/>
        </w:rPr>
        <w:t xml:space="preserve">di beni immobili. </w:t>
      </w:r>
    </w:p>
    <w:p w:rsidR="00F155DD" w:rsidRDefault="007B680B" w:rsidP="00273BE4">
      <w:pPr>
        <w:spacing w:before="120"/>
        <w:ind w:right="126"/>
        <w:jc w:val="both"/>
      </w:pPr>
      <w:r>
        <w:t>L</w:t>
      </w:r>
      <w:r w:rsidR="00475F5B">
        <w:t>’acquisto di un bene immobile</w:t>
      </w:r>
      <w:r w:rsidR="00CB67E3">
        <w:t xml:space="preserve">, ad </w:t>
      </w:r>
      <w:r w:rsidR="004F1A24">
        <w:t>esclusi</w:t>
      </w:r>
      <w:r w:rsidR="00CB67E3">
        <w:t>one</w:t>
      </w:r>
      <w:r w:rsidR="003D2F6C">
        <w:t xml:space="preserve"> de</w:t>
      </w:r>
      <w:r w:rsidR="004F1A24">
        <w:t>gli impianti e</w:t>
      </w:r>
      <w:r w:rsidR="001D468C">
        <w:t xml:space="preserve"> </w:t>
      </w:r>
      <w:r w:rsidR="00CB67E3">
        <w:t>del</w:t>
      </w:r>
      <w:r w:rsidR="001D468C">
        <w:t>le</w:t>
      </w:r>
      <w:r w:rsidR="004F1A24">
        <w:t xml:space="preserve"> attrezzature mobili di pertinenza</w:t>
      </w:r>
      <w:r w:rsidR="00734906">
        <w:t xml:space="preserve">, </w:t>
      </w:r>
      <w:r w:rsidR="00475F5B">
        <w:t>costituisce una spesa ammissibile purch</w:t>
      </w:r>
      <w:r w:rsidR="00B8585B">
        <w:t>é</w:t>
      </w:r>
      <w:r w:rsidR="00475F5B">
        <w:t xml:space="preserve"> </w:t>
      </w:r>
      <w:r w:rsidR="00E2194D">
        <w:t xml:space="preserve">funzionale </w:t>
      </w:r>
      <w:r w:rsidR="00475F5B">
        <w:t xml:space="preserve">alle finalità dell’operazione in questione. </w:t>
      </w:r>
    </w:p>
    <w:p w:rsidR="00475F5B" w:rsidRDefault="00475F5B" w:rsidP="00273BE4">
      <w:pPr>
        <w:spacing w:before="120"/>
        <w:ind w:right="126"/>
        <w:jc w:val="both"/>
      </w:pPr>
      <w:r>
        <w:t xml:space="preserve">A tale scopo occorre rispettare </w:t>
      </w:r>
      <w:r w:rsidR="00E2194D">
        <w:t xml:space="preserve">almeno </w:t>
      </w:r>
      <w:r>
        <w:t>le seguenti condizioni:</w:t>
      </w:r>
    </w:p>
    <w:p w:rsidR="00475F5B" w:rsidRDefault="00B8585B" w:rsidP="0093020D">
      <w:pPr>
        <w:numPr>
          <w:ilvl w:val="0"/>
          <w:numId w:val="11"/>
        </w:numPr>
        <w:tabs>
          <w:tab w:val="clear" w:pos="1440"/>
        </w:tabs>
        <w:spacing w:before="120"/>
        <w:ind w:left="540" w:right="126" w:hanging="540"/>
        <w:jc w:val="both"/>
      </w:pPr>
      <w:r>
        <w:t xml:space="preserve">attestazione di </w:t>
      </w:r>
      <w:r w:rsidRPr="007E6873">
        <w:t xml:space="preserve">un </w:t>
      </w:r>
      <w:r>
        <w:t>tecnico</w:t>
      </w:r>
      <w:r w:rsidRPr="007E6873">
        <w:t xml:space="preserve"> qualificato </w:t>
      </w:r>
      <w:r w:rsidR="00475F5B">
        <w:t xml:space="preserve">indipendente o </w:t>
      </w:r>
      <w:r w:rsidR="001D468C">
        <w:t xml:space="preserve">di </w:t>
      </w:r>
      <w:r w:rsidR="00475F5B">
        <w:t xml:space="preserve">un organismo debitamente autorizzato, </w:t>
      </w:r>
      <w:r>
        <w:t xml:space="preserve">con cui si dimostri </w:t>
      </w:r>
      <w:r w:rsidRPr="007E6873">
        <w:t>che il prezzo di acquisto non sia</w:t>
      </w:r>
      <w:r>
        <w:t xml:space="preserve"> superiore al valore di mercato</w:t>
      </w:r>
      <w:r w:rsidR="00475F5B">
        <w:t xml:space="preserve"> e la conformità dell’immobile alla normativa</w:t>
      </w:r>
      <w:r w:rsidR="00EC058A">
        <w:t xml:space="preserve"> urbanistica vigente</w:t>
      </w:r>
      <w:r w:rsidR="001D468C">
        <w:t>,</w:t>
      </w:r>
      <w:r w:rsidR="00475F5B">
        <w:t xml:space="preserve"> oppure specifichi </w:t>
      </w:r>
      <w:r w:rsidR="00E91E79">
        <w:t>gli elementi d</w:t>
      </w:r>
      <w:r w:rsidR="00475F5B">
        <w:t>i non conformi</w:t>
      </w:r>
      <w:r w:rsidR="00E91E79">
        <w:t xml:space="preserve">tà, nei casi in cui </w:t>
      </w:r>
      <w:r w:rsidR="00475F5B">
        <w:t>l’operazione preved</w:t>
      </w:r>
      <w:r w:rsidR="00E91E79">
        <w:t>a</w:t>
      </w:r>
      <w:r w:rsidR="00475F5B">
        <w:t xml:space="preserve"> la loro regolarizzazione d</w:t>
      </w:r>
      <w:r w:rsidR="00E91E79">
        <w:t>a parte del beneficiario finale;</w:t>
      </w:r>
    </w:p>
    <w:p w:rsidR="00E91E79" w:rsidRDefault="00475F5B" w:rsidP="0093020D">
      <w:pPr>
        <w:numPr>
          <w:ilvl w:val="0"/>
          <w:numId w:val="11"/>
        </w:numPr>
        <w:tabs>
          <w:tab w:val="clear" w:pos="1440"/>
        </w:tabs>
        <w:spacing w:before="120"/>
        <w:ind w:left="540" w:right="126" w:hanging="540"/>
        <w:jc w:val="both"/>
      </w:pPr>
      <w:r>
        <w:t xml:space="preserve">l’immobile non </w:t>
      </w:r>
      <w:r w:rsidR="00E91E79">
        <w:t>abbia</w:t>
      </w:r>
      <w:r>
        <w:t xml:space="preserve"> fruito</w:t>
      </w:r>
      <w:r w:rsidR="00E91E79">
        <w:t>,</w:t>
      </w:r>
      <w:r>
        <w:t xml:space="preserve"> </w:t>
      </w:r>
      <w:r w:rsidRPr="007330CB">
        <w:t xml:space="preserve">nel corso dei dieci anni precedenti, di un finanziamento </w:t>
      </w:r>
      <w:r w:rsidR="00EC058A" w:rsidRPr="007330CB">
        <w:t>pubblico</w:t>
      </w:r>
      <w:r w:rsidR="00E91E79" w:rsidRPr="007330CB">
        <w:t>;</w:t>
      </w:r>
      <w:r w:rsidR="00F811E0" w:rsidRPr="007330CB">
        <w:t xml:space="preserve"> tale limitazione non ricorre nel caso in cui l’Amministrazione concedente abbia revocato e recuperato totalmente le agevolazioni medesime;</w:t>
      </w:r>
      <w:r w:rsidR="00EF3C3F">
        <w:t xml:space="preserve"> </w:t>
      </w:r>
    </w:p>
    <w:p w:rsidR="006D473F" w:rsidRDefault="00E2194D" w:rsidP="0093020D">
      <w:pPr>
        <w:numPr>
          <w:ilvl w:val="0"/>
          <w:numId w:val="11"/>
        </w:numPr>
        <w:tabs>
          <w:tab w:val="clear" w:pos="1440"/>
          <w:tab w:val="num" w:pos="540"/>
        </w:tabs>
        <w:spacing w:before="120"/>
        <w:ind w:left="540" w:right="126" w:hanging="540"/>
        <w:jc w:val="both"/>
      </w:pPr>
      <w:r>
        <w:lastRenderedPageBreak/>
        <w:t>esistenza</w:t>
      </w:r>
      <w:r w:rsidR="00E91E79">
        <w:t xml:space="preserve"> di un nesso diretto tra l’acquisto dell’immobile e gli obiettivi dell’operazione</w:t>
      </w:r>
      <w:r w:rsidR="002C6EAD">
        <w:t>, nonché</w:t>
      </w:r>
      <w:r w:rsidR="00E91E79">
        <w:t xml:space="preserve"> </w:t>
      </w:r>
      <w:r>
        <w:t xml:space="preserve">di </w:t>
      </w:r>
      <w:r w:rsidR="00E91E79">
        <w:t xml:space="preserve"> un periodo minimo di destinazione</w:t>
      </w:r>
      <w:r w:rsidR="002C6EAD">
        <w:t xml:space="preserve"> compatibile con la normativa comunitaria</w:t>
      </w:r>
      <w:r w:rsidR="00E91E79">
        <w:t>.</w:t>
      </w:r>
    </w:p>
    <w:p w:rsidR="006222C7" w:rsidRDefault="006222C7" w:rsidP="006222C7">
      <w:pPr>
        <w:spacing w:before="120"/>
        <w:ind w:left="540" w:right="126"/>
        <w:jc w:val="both"/>
      </w:pPr>
    </w:p>
    <w:p w:rsidR="00751226" w:rsidRPr="00433179" w:rsidRDefault="003532E2" w:rsidP="006222C7">
      <w:pPr>
        <w:pStyle w:val="Titolo2"/>
        <w:tabs>
          <w:tab w:val="left" w:pos="720"/>
        </w:tabs>
        <w:spacing w:before="120" w:after="0"/>
        <w:ind w:left="720" w:right="125" w:hanging="720"/>
        <w:rPr>
          <w:b w:val="0"/>
          <w:snapToGrid w:val="0"/>
        </w:rPr>
      </w:pPr>
      <w:bookmarkStart w:id="17" w:name="_Toc432090710"/>
      <w:r>
        <w:t>3</w:t>
      </w:r>
      <w:r w:rsidR="008D278F" w:rsidRPr="00C6076C">
        <w:t>.</w:t>
      </w:r>
      <w:r w:rsidR="006222C7">
        <w:t>7</w:t>
      </w:r>
      <w:r w:rsidR="00EE7FA2" w:rsidRPr="00C6076C">
        <w:t xml:space="preserve"> </w:t>
      </w:r>
      <w:r w:rsidR="006568C2" w:rsidRPr="00C6076C">
        <w:tab/>
      </w:r>
      <w:r w:rsidR="00AA7FB4" w:rsidRPr="00C6076C">
        <w:t>Fornitura di beni e di servizi senza pagamento in denaro</w:t>
      </w:r>
      <w:bookmarkEnd w:id="17"/>
    </w:p>
    <w:p w:rsidR="007574D9" w:rsidRPr="00510939" w:rsidRDefault="008A0B07" w:rsidP="00273BE4">
      <w:pPr>
        <w:spacing w:before="120"/>
        <w:ind w:right="126"/>
        <w:jc w:val="both"/>
        <w:rPr>
          <w:b/>
          <w:bCs/>
          <w:szCs w:val="20"/>
        </w:rPr>
      </w:pPr>
      <w:r w:rsidRPr="008A0B07">
        <w:t>Disposizioni specifiche in materia sono contenute nell’art.</w:t>
      </w:r>
      <w:r>
        <w:t xml:space="preserve"> </w:t>
      </w:r>
      <w:r w:rsidR="00F8114F">
        <w:rPr>
          <w:bCs/>
          <w:szCs w:val="20"/>
        </w:rPr>
        <w:t>69</w:t>
      </w:r>
      <w:r w:rsidR="00F8114F" w:rsidRPr="00510939">
        <w:rPr>
          <w:bCs/>
          <w:szCs w:val="20"/>
        </w:rPr>
        <w:t xml:space="preserve"> </w:t>
      </w:r>
      <w:r w:rsidR="00751226" w:rsidRPr="00510939">
        <w:rPr>
          <w:bCs/>
          <w:szCs w:val="20"/>
        </w:rPr>
        <w:t>del Reg</w:t>
      </w:r>
      <w:r w:rsidR="00116B32">
        <w:rPr>
          <w:bCs/>
          <w:szCs w:val="20"/>
        </w:rPr>
        <w:t>.</w:t>
      </w:r>
      <w:r w:rsidR="00751226" w:rsidRPr="00510939">
        <w:rPr>
          <w:bCs/>
          <w:szCs w:val="20"/>
        </w:rPr>
        <w:t xml:space="preserve"> (</w:t>
      </w:r>
      <w:r w:rsidR="008B6820">
        <w:rPr>
          <w:bCs/>
          <w:szCs w:val="20"/>
        </w:rPr>
        <w:t>U</w:t>
      </w:r>
      <w:r w:rsidR="007574D9" w:rsidRPr="00510939">
        <w:rPr>
          <w:bCs/>
          <w:szCs w:val="20"/>
        </w:rPr>
        <w:t>E</w:t>
      </w:r>
      <w:r w:rsidR="00751226" w:rsidRPr="00510939">
        <w:rPr>
          <w:bCs/>
          <w:szCs w:val="20"/>
        </w:rPr>
        <w:t>)</w:t>
      </w:r>
      <w:r w:rsidR="007574D9" w:rsidRPr="00510939">
        <w:rPr>
          <w:bCs/>
          <w:szCs w:val="20"/>
        </w:rPr>
        <w:t xml:space="preserve"> n. </w:t>
      </w:r>
      <w:r w:rsidR="00F8114F">
        <w:rPr>
          <w:bCs/>
          <w:szCs w:val="20"/>
        </w:rPr>
        <w:t>1303</w:t>
      </w:r>
      <w:r w:rsidR="007574D9" w:rsidRPr="00510939">
        <w:rPr>
          <w:bCs/>
          <w:szCs w:val="20"/>
        </w:rPr>
        <w:t>/</w:t>
      </w:r>
      <w:r w:rsidR="006222C7">
        <w:rPr>
          <w:bCs/>
          <w:szCs w:val="20"/>
        </w:rPr>
        <w:t>20</w:t>
      </w:r>
      <w:r w:rsidR="00F8114F">
        <w:rPr>
          <w:bCs/>
          <w:szCs w:val="20"/>
        </w:rPr>
        <w:t>13</w:t>
      </w:r>
      <w:r w:rsidR="007574D9" w:rsidRPr="00510939">
        <w:rPr>
          <w:bCs/>
          <w:szCs w:val="20"/>
        </w:rPr>
        <w:t>:</w:t>
      </w:r>
    </w:p>
    <w:p w:rsidR="007574D9" w:rsidRPr="00510939" w:rsidRDefault="007574D9" w:rsidP="00273BE4">
      <w:pPr>
        <w:spacing w:before="120"/>
        <w:ind w:right="126"/>
        <w:jc w:val="both"/>
        <w:rPr>
          <w:bCs/>
          <w:i/>
          <w:szCs w:val="20"/>
        </w:rPr>
      </w:pPr>
      <w:r w:rsidRPr="008A0B07">
        <w:rPr>
          <w:bCs/>
          <w:szCs w:val="20"/>
        </w:rPr>
        <w:t>“</w:t>
      </w:r>
      <w:r w:rsidRPr="00510939">
        <w:rPr>
          <w:bCs/>
          <w:i/>
          <w:szCs w:val="20"/>
        </w:rPr>
        <w:t xml:space="preserve">1 . </w:t>
      </w:r>
      <w:r w:rsidR="00751226" w:rsidRPr="00510939">
        <w:rPr>
          <w:bCs/>
          <w:i/>
          <w:szCs w:val="20"/>
        </w:rPr>
        <w:t xml:space="preserve"> </w:t>
      </w:r>
      <w:r w:rsidR="00F8114F" w:rsidRPr="00F8114F">
        <w:rPr>
          <w:bCs/>
          <w:i/>
          <w:szCs w:val="20"/>
        </w:rPr>
        <w:t>I contributi in natura sotto forma di forniture di opere, beni, servizi, terreni e immobili in relazione ai quali non è stato effettuato alcun pagamento in contanti giustificato da fatture o documenti di valore probatorio equivalente, sono considerati ammissibili a condizione che lo prevedano le norme in materia di ammissibilità dei fondi SIE e del programma e siano soddisfatti tutti i seguenti criteri:</w:t>
      </w:r>
      <w:r w:rsidR="00F8114F" w:rsidRPr="00F8114F" w:rsidDel="00F8114F">
        <w:rPr>
          <w:bCs/>
          <w:i/>
          <w:szCs w:val="20"/>
        </w:rPr>
        <w:t xml:space="preserve"> </w:t>
      </w:r>
    </w:p>
    <w:p w:rsidR="00F8114F" w:rsidRPr="00F8114F" w:rsidRDefault="00F8114F" w:rsidP="0093020D">
      <w:pPr>
        <w:numPr>
          <w:ilvl w:val="0"/>
          <w:numId w:val="3"/>
        </w:numPr>
        <w:spacing w:before="120"/>
        <w:ind w:right="126"/>
        <w:jc w:val="both"/>
        <w:rPr>
          <w:bCs/>
          <w:i/>
          <w:szCs w:val="20"/>
        </w:rPr>
      </w:pPr>
      <w:r w:rsidRPr="00F8114F">
        <w:rPr>
          <w:bCs/>
          <w:i/>
          <w:szCs w:val="20"/>
        </w:rPr>
        <w:t>il sostegno pubblico a favore dell'operazione che comprende contributi in natura non supera il totale delle spese ammissibili, esclusi i contributi in natura, al termine dell'operazione;</w:t>
      </w:r>
    </w:p>
    <w:p w:rsidR="00F8114F" w:rsidRPr="00F8114F" w:rsidRDefault="00F8114F" w:rsidP="0093020D">
      <w:pPr>
        <w:numPr>
          <w:ilvl w:val="0"/>
          <w:numId w:val="3"/>
        </w:numPr>
        <w:spacing w:before="120"/>
        <w:ind w:right="126"/>
        <w:jc w:val="both"/>
        <w:rPr>
          <w:bCs/>
          <w:i/>
          <w:szCs w:val="20"/>
        </w:rPr>
      </w:pPr>
      <w:r w:rsidRPr="00F8114F">
        <w:rPr>
          <w:bCs/>
          <w:i/>
          <w:szCs w:val="20"/>
        </w:rPr>
        <w:t>il valore attribuito ai contributi in natura non supera i costi generalmente accettati sul mercato in questione;</w:t>
      </w:r>
    </w:p>
    <w:p w:rsidR="00F8114F" w:rsidRPr="00F8114F" w:rsidRDefault="00F8114F" w:rsidP="0093020D">
      <w:pPr>
        <w:numPr>
          <w:ilvl w:val="0"/>
          <w:numId w:val="3"/>
        </w:numPr>
        <w:spacing w:before="120"/>
        <w:ind w:right="126"/>
        <w:jc w:val="both"/>
        <w:rPr>
          <w:bCs/>
          <w:i/>
          <w:szCs w:val="20"/>
        </w:rPr>
      </w:pPr>
      <w:r w:rsidRPr="00F8114F">
        <w:rPr>
          <w:bCs/>
          <w:i/>
          <w:szCs w:val="20"/>
        </w:rPr>
        <w:t>il valore e la fornitura dei contributi possono essere valutati e verificati in modo indipendente;</w:t>
      </w:r>
    </w:p>
    <w:p w:rsidR="00F8114F" w:rsidRPr="00F8114F" w:rsidRDefault="00F8114F" w:rsidP="0093020D">
      <w:pPr>
        <w:numPr>
          <w:ilvl w:val="0"/>
          <w:numId w:val="3"/>
        </w:numPr>
        <w:tabs>
          <w:tab w:val="clear" w:pos="540"/>
        </w:tabs>
        <w:spacing w:before="120"/>
        <w:ind w:right="126"/>
        <w:jc w:val="both"/>
        <w:rPr>
          <w:bCs/>
          <w:i/>
          <w:szCs w:val="20"/>
        </w:rPr>
      </w:pPr>
      <w:r w:rsidRPr="00F8114F">
        <w:rPr>
          <w:bCs/>
          <w:i/>
          <w:szCs w:val="20"/>
        </w:rPr>
        <w:t xml:space="preserve"> nel caso di terreni o immobili, può essere eseguito un pagamento in denaro ai fini di un contratto di locazione per un importo nominale annuo non superiore a una singola unità della valuta dello Stato membro;</w:t>
      </w:r>
    </w:p>
    <w:p w:rsidR="00F8114F" w:rsidRDefault="00F8114F" w:rsidP="006222C7">
      <w:pPr>
        <w:spacing w:before="120"/>
        <w:ind w:left="567" w:right="126" w:hanging="425"/>
        <w:jc w:val="both"/>
        <w:rPr>
          <w:bCs/>
          <w:i/>
          <w:szCs w:val="20"/>
        </w:rPr>
      </w:pPr>
      <w:r w:rsidRPr="00F8114F">
        <w:rPr>
          <w:bCs/>
          <w:i/>
          <w:szCs w:val="20"/>
        </w:rPr>
        <w:t>e</w:t>
      </w:r>
      <w:r w:rsidR="006222C7">
        <w:rPr>
          <w:bCs/>
          <w:i/>
          <w:szCs w:val="20"/>
        </w:rPr>
        <w:t>.</w:t>
      </w:r>
      <w:r w:rsidRPr="00F8114F">
        <w:rPr>
          <w:bCs/>
          <w:i/>
          <w:szCs w:val="20"/>
        </w:rPr>
        <w:t xml:space="preserve"> </w:t>
      </w:r>
      <w:r w:rsidR="006222C7">
        <w:rPr>
          <w:bCs/>
          <w:i/>
          <w:szCs w:val="20"/>
        </w:rPr>
        <w:t xml:space="preserve">  </w:t>
      </w:r>
      <w:r w:rsidRPr="00F8114F">
        <w:rPr>
          <w:bCs/>
          <w:i/>
          <w:szCs w:val="20"/>
        </w:rPr>
        <w:t>nel caso di contributi in natura sotto forma di prestazione di lavoro non retribuita, il valore della prestazione è stabilito tenendo conto del tempo di lavoro trascorso e verificato il tasso di remunerazione per una prestazione di lavoro equivalente</w:t>
      </w:r>
      <w:r w:rsidRPr="00F8114F" w:rsidDel="00F8114F">
        <w:rPr>
          <w:bCs/>
          <w:i/>
          <w:szCs w:val="20"/>
        </w:rPr>
        <w:t xml:space="preserve"> </w:t>
      </w:r>
    </w:p>
    <w:p w:rsidR="00F8114F" w:rsidRDefault="00F8114F" w:rsidP="00273BE4">
      <w:pPr>
        <w:spacing w:before="120"/>
        <w:ind w:right="126"/>
        <w:jc w:val="both"/>
      </w:pPr>
      <w:r w:rsidRPr="00F8114F">
        <w:t xml:space="preserve">Il valore dei terreni o immobili di cui al primo comma, lettera d), è certificato da un esperto qualificato e indipendente o </w:t>
      </w:r>
      <w:r w:rsidR="009950AE">
        <w:t xml:space="preserve">da </w:t>
      </w:r>
      <w:r w:rsidRPr="00F8114F">
        <w:t xml:space="preserve">un organismo debitamente autorizzato e non </w:t>
      </w:r>
      <w:r w:rsidR="009950AE">
        <w:t xml:space="preserve">può </w:t>
      </w:r>
      <w:r w:rsidRPr="00F8114F">
        <w:t>supera</w:t>
      </w:r>
      <w:r w:rsidR="009950AE">
        <w:t>re</w:t>
      </w:r>
      <w:r w:rsidRPr="00F8114F">
        <w:t xml:space="preserve"> il limite </w:t>
      </w:r>
      <w:r w:rsidR="009950AE">
        <w:t xml:space="preserve">del 10% della spesa totale ammissibile dell’operazione considerata, </w:t>
      </w:r>
      <w:r w:rsidRPr="00F8114F">
        <w:t xml:space="preserve">di cui al </w:t>
      </w:r>
      <w:r w:rsidRPr="009950AE">
        <w:t>paragrafo 3, lettera b</w:t>
      </w:r>
      <w:r w:rsidR="009950AE" w:rsidRPr="009950AE">
        <w:t xml:space="preserve"> </w:t>
      </w:r>
      <w:r w:rsidR="009950AE">
        <w:t>d</w:t>
      </w:r>
      <w:r w:rsidR="009950AE" w:rsidRPr="008A0B07">
        <w:t>ell’art.</w:t>
      </w:r>
      <w:r w:rsidR="009950AE">
        <w:t xml:space="preserve"> </w:t>
      </w:r>
      <w:r w:rsidR="009950AE">
        <w:rPr>
          <w:bCs/>
          <w:szCs w:val="20"/>
        </w:rPr>
        <w:t>69</w:t>
      </w:r>
      <w:r w:rsidR="009950AE" w:rsidRPr="00510939">
        <w:rPr>
          <w:bCs/>
          <w:szCs w:val="20"/>
        </w:rPr>
        <w:t xml:space="preserve"> del Reg</w:t>
      </w:r>
      <w:r w:rsidR="009950AE">
        <w:rPr>
          <w:bCs/>
          <w:szCs w:val="20"/>
        </w:rPr>
        <w:t>.</w:t>
      </w:r>
      <w:r w:rsidR="009950AE" w:rsidRPr="00510939">
        <w:rPr>
          <w:bCs/>
          <w:szCs w:val="20"/>
        </w:rPr>
        <w:t xml:space="preserve"> (</w:t>
      </w:r>
      <w:r w:rsidR="009950AE">
        <w:rPr>
          <w:bCs/>
          <w:szCs w:val="20"/>
        </w:rPr>
        <w:t>U</w:t>
      </w:r>
      <w:r w:rsidR="009950AE" w:rsidRPr="00510939">
        <w:rPr>
          <w:bCs/>
          <w:szCs w:val="20"/>
        </w:rPr>
        <w:t xml:space="preserve">E) n. </w:t>
      </w:r>
      <w:r w:rsidR="009950AE">
        <w:rPr>
          <w:bCs/>
          <w:szCs w:val="20"/>
        </w:rPr>
        <w:t>1303</w:t>
      </w:r>
      <w:r w:rsidR="009950AE" w:rsidRPr="00510939">
        <w:rPr>
          <w:bCs/>
          <w:szCs w:val="20"/>
        </w:rPr>
        <w:t>/</w:t>
      </w:r>
      <w:r w:rsidR="009950AE">
        <w:rPr>
          <w:bCs/>
          <w:szCs w:val="20"/>
        </w:rPr>
        <w:t>2013</w:t>
      </w:r>
      <w:r w:rsidRPr="009950AE">
        <w:t>.</w:t>
      </w:r>
      <w:r w:rsidRPr="00F8114F">
        <w:t xml:space="preserve"> </w:t>
      </w:r>
    </w:p>
    <w:p w:rsidR="00E40D30" w:rsidRDefault="00AA7FB4" w:rsidP="00273BE4">
      <w:pPr>
        <w:spacing w:before="120"/>
        <w:ind w:right="126"/>
        <w:jc w:val="both"/>
      </w:pPr>
      <w:r>
        <w:t>L’articolo dispone che po</w:t>
      </w:r>
      <w:r w:rsidR="008B6820">
        <w:t xml:space="preserve">ssa essere giudicata ammissibili </w:t>
      </w:r>
      <w:r>
        <w:t xml:space="preserve">la fornitura di beni e di servizi da parte del beneficiario, anche se tale fornitura non implica pagamenti di corrispettivi in denaro. </w:t>
      </w:r>
      <w:r w:rsidR="0055486C">
        <w:t xml:space="preserve">Si tratta, in generale, di contribuzioni che non danno luogo ad oneri reali, </w:t>
      </w:r>
      <w:r w:rsidR="00BD75A8" w:rsidRPr="00510939">
        <w:t xml:space="preserve">ma </w:t>
      </w:r>
      <w:r w:rsidR="00751226" w:rsidRPr="00510939">
        <w:t>che, a determinate condizioni,</w:t>
      </w:r>
      <w:r w:rsidR="00BD75A8" w:rsidRPr="00510939">
        <w:t xml:space="preserve"> </w:t>
      </w:r>
      <w:r w:rsidR="008A0B07">
        <w:t xml:space="preserve">in quanto </w:t>
      </w:r>
      <w:r w:rsidR="00BD75A8" w:rsidRPr="00510939">
        <w:t>effettiv</w:t>
      </w:r>
      <w:r w:rsidR="004F72B7">
        <w:t>e</w:t>
      </w:r>
      <w:r w:rsidR="008A0B07">
        <w:t>,</w:t>
      </w:r>
      <w:r w:rsidR="00BD75A8" w:rsidRPr="00510939">
        <w:t xml:space="preserve"> </w:t>
      </w:r>
      <w:r w:rsidR="008A0B07" w:rsidRPr="00510939">
        <w:t xml:space="preserve">sono </w:t>
      </w:r>
      <w:r w:rsidR="00BD75A8" w:rsidRPr="00510939">
        <w:t>ammissibili</w:t>
      </w:r>
      <w:r w:rsidR="0055486C">
        <w:t xml:space="preserve"> a contributo</w:t>
      </w:r>
      <w:r w:rsidR="00E40D30">
        <w:t>.</w:t>
      </w:r>
    </w:p>
    <w:p w:rsidR="001B13B7" w:rsidRDefault="0055486C" w:rsidP="00273BE4">
      <w:pPr>
        <w:spacing w:before="120"/>
        <w:ind w:right="126"/>
        <w:jc w:val="both"/>
      </w:pPr>
      <w:r>
        <w:t>Tra questi cos</w:t>
      </w:r>
      <w:r w:rsidR="00BD75A8" w:rsidRPr="00510939">
        <w:t xml:space="preserve">ti </w:t>
      </w:r>
      <w:r>
        <w:t xml:space="preserve">possono essere classificati i contributi in natura </w:t>
      </w:r>
      <w:r w:rsidR="002257F0" w:rsidRPr="00510939">
        <w:t>riferibili</w:t>
      </w:r>
      <w:r w:rsidR="00E32723" w:rsidRPr="00510939">
        <w:t xml:space="preserve"> all</w:t>
      </w:r>
      <w:r w:rsidR="006A3102">
        <w:t>’</w:t>
      </w:r>
      <w:r w:rsidR="00E32723" w:rsidRPr="00510939">
        <w:t>ipotesi general</w:t>
      </w:r>
      <w:r w:rsidR="006A3102">
        <w:t xml:space="preserve">e di </w:t>
      </w:r>
      <w:r w:rsidR="00E32723" w:rsidRPr="00510939">
        <w:t>utilizzo di “..</w:t>
      </w:r>
      <w:r w:rsidR="00E32723" w:rsidRPr="00510939">
        <w:rPr>
          <w:i/>
        </w:rPr>
        <w:t xml:space="preserve">terreni o immobili, attrezzature o materiali..” </w:t>
      </w:r>
      <w:r w:rsidR="00E32723" w:rsidRPr="00510939">
        <w:t xml:space="preserve">senza </w:t>
      </w:r>
      <w:r w:rsidR="006A3102">
        <w:t xml:space="preserve">pagamento di </w:t>
      </w:r>
      <w:r w:rsidR="00E32723" w:rsidRPr="00510939">
        <w:t>corrispettivi e senza la configurazione di oneri di ammortamento</w:t>
      </w:r>
      <w:r w:rsidR="00E91E79">
        <w:t xml:space="preserve">, così come </w:t>
      </w:r>
      <w:r w:rsidR="001B13B7">
        <w:t>l'utilizzo del parco macchine aziendale in alternativa all'affitto di analoghi mezzi.</w:t>
      </w:r>
      <w:r w:rsidR="00032C67">
        <w:t xml:space="preserve"> </w:t>
      </w:r>
      <w:r w:rsidR="00032C67" w:rsidRPr="00966288">
        <w:t>In quest’ultimo caso, il valore dell’utilizzo di macchine e/o attrezzature aziendali deve essere determinato tenendo conto dell’effettiva disponibilità in azienda della macchina e/o attrezzatura, del tempo di utilizzo effettivo, in condizioni di ordinarietà, e delle normali tariffe orarie/giornaliere stabilite dai prezzari regionali</w:t>
      </w:r>
      <w:r w:rsidR="00032C67">
        <w:t>.</w:t>
      </w:r>
    </w:p>
    <w:p w:rsidR="00F63165" w:rsidRDefault="000623DD" w:rsidP="00273BE4">
      <w:pPr>
        <w:tabs>
          <w:tab w:val="num" w:pos="-1260"/>
        </w:tabs>
        <w:spacing w:before="120"/>
        <w:ind w:right="126"/>
        <w:jc w:val="both"/>
      </w:pPr>
      <w:r>
        <w:t>L’altro aspetto</w:t>
      </w:r>
      <w:r w:rsidR="0055486C">
        <w:t>,</w:t>
      </w:r>
      <w:r w:rsidR="009D7F62">
        <w:t xml:space="preserve"> </w:t>
      </w:r>
      <w:r w:rsidR="00387AA7">
        <w:t xml:space="preserve">riguardante </w:t>
      </w:r>
      <w:r w:rsidR="00E813C9">
        <w:t xml:space="preserve">i </w:t>
      </w:r>
      <w:r>
        <w:t xml:space="preserve">costi </w:t>
      </w:r>
      <w:r w:rsidR="0055486C">
        <w:t xml:space="preserve">non </w:t>
      </w:r>
      <w:r>
        <w:t xml:space="preserve">effettivi </w:t>
      </w:r>
      <w:r w:rsidR="0055486C">
        <w:t xml:space="preserve">ma comunque ammissibili, è legato </w:t>
      </w:r>
      <w:r>
        <w:t>a</w:t>
      </w:r>
      <w:r w:rsidR="009D7F62">
        <w:t>gli apporti che</w:t>
      </w:r>
      <w:r w:rsidR="0055486C">
        <w:t xml:space="preserve"> </w:t>
      </w:r>
      <w:r>
        <w:t>consistono</w:t>
      </w:r>
      <w:r w:rsidR="006C036B">
        <w:t xml:space="preserve"> in </w:t>
      </w:r>
      <w:r w:rsidRPr="00510939">
        <w:t>prestazioni d’opera relative ad “</w:t>
      </w:r>
      <w:r w:rsidRPr="00510939">
        <w:rPr>
          <w:i/>
        </w:rPr>
        <w:t>..</w:t>
      </w:r>
      <w:r w:rsidRPr="00510939">
        <w:rPr>
          <w:bCs/>
          <w:i/>
          <w:szCs w:val="20"/>
        </w:rPr>
        <w:t>attività di ricerca o professionali, o prestazioni volontarie non retribuite”.</w:t>
      </w:r>
      <w:r w:rsidRPr="00510939">
        <w:rPr>
          <w:bCs/>
          <w:szCs w:val="20"/>
        </w:rPr>
        <w:t xml:space="preserve"> </w:t>
      </w:r>
      <w:r w:rsidR="009950AE">
        <w:rPr>
          <w:bCs/>
          <w:szCs w:val="20"/>
        </w:rPr>
        <w:t>Un altro aspetto riguarda le</w:t>
      </w:r>
      <w:r w:rsidR="000C71C4">
        <w:rPr>
          <w:snapToGrid w:val="0"/>
        </w:rPr>
        <w:t xml:space="preserve"> modalità di esecuzione </w:t>
      </w:r>
      <w:r w:rsidR="000C71C4" w:rsidRPr="00510939">
        <w:rPr>
          <w:snapToGrid w:val="0"/>
        </w:rPr>
        <w:t>delle opere connesse ad investiment</w:t>
      </w:r>
      <w:r w:rsidR="000C71C4">
        <w:rPr>
          <w:snapToGrid w:val="0"/>
        </w:rPr>
        <w:t xml:space="preserve">i </w:t>
      </w:r>
      <w:r w:rsidR="000C71C4" w:rsidRPr="00510939">
        <w:rPr>
          <w:snapToGrid w:val="0"/>
        </w:rPr>
        <w:t>fisic</w:t>
      </w:r>
      <w:r w:rsidR="000C71C4">
        <w:rPr>
          <w:snapToGrid w:val="0"/>
        </w:rPr>
        <w:t xml:space="preserve">i, in relazione alle quali, </w:t>
      </w:r>
      <w:r w:rsidR="000C71C4" w:rsidRPr="00510939">
        <w:rPr>
          <w:snapToGrid w:val="0"/>
        </w:rPr>
        <w:t xml:space="preserve">anziché rivolgersi ad un’impresa organizzata per ottenerne l’esecuzione, il beneficiario </w:t>
      </w:r>
      <w:r w:rsidR="002C4A83">
        <w:rPr>
          <w:snapToGrid w:val="0"/>
        </w:rPr>
        <w:t>e/o i suoi familiari provvedo</w:t>
      </w:r>
      <w:r w:rsidR="00387AA7">
        <w:rPr>
          <w:snapToGrid w:val="0"/>
        </w:rPr>
        <w:t>no</w:t>
      </w:r>
      <w:r w:rsidR="00737069">
        <w:rPr>
          <w:snapToGrid w:val="0"/>
        </w:rPr>
        <w:t xml:space="preserve"> per proprio conto. </w:t>
      </w:r>
      <w:r w:rsidR="000C71C4">
        <w:t>In tale contesto sono ammissibili a cofinanziamento le operazioni di carattere agronomico</w:t>
      </w:r>
      <w:r w:rsidR="007B680B">
        <w:t xml:space="preserve"> e forestale </w:t>
      </w:r>
      <w:r w:rsidR="000C71C4" w:rsidRPr="00EE7FA2">
        <w:t>eseguite dagli imprenditori agricoli</w:t>
      </w:r>
      <w:r w:rsidR="00E40D30" w:rsidRPr="00EE7FA2">
        <w:t xml:space="preserve"> e forestali</w:t>
      </w:r>
      <w:r w:rsidR="00DF1863">
        <w:t>,</w:t>
      </w:r>
      <w:r w:rsidR="005413AD">
        <w:t xml:space="preserve"> </w:t>
      </w:r>
      <w:r w:rsidR="000C71C4" w:rsidRPr="00EE7FA2">
        <w:t>dai loro familiari</w:t>
      </w:r>
      <w:r w:rsidR="005413AD">
        <w:t>,</w:t>
      </w:r>
      <w:r w:rsidR="00FC3BDB">
        <w:t xml:space="preserve"> nonché dai piccoli proprietari forestali</w:t>
      </w:r>
      <w:r w:rsidR="00984FFD">
        <w:t xml:space="preserve"> senza rivolgersi a soggetti terzi ma gestendo in maniera diretta l’intervento e portandolo a termine con l’ausilio del proprie dotazioni </w:t>
      </w:r>
      <w:r w:rsidR="007A44F2">
        <w:t>aziendali (utilizzo di macchine e</w:t>
      </w:r>
      <w:r w:rsidR="00984FFD">
        <w:t xml:space="preserve"> materiale </w:t>
      </w:r>
      <w:r w:rsidR="00984FFD">
        <w:lastRenderedPageBreak/>
        <w:t>disponibile in azienda</w:t>
      </w:r>
      <w:r w:rsidR="0041378F">
        <w:t>)</w:t>
      </w:r>
      <w:r w:rsidR="00737069" w:rsidRPr="00EE7FA2">
        <w:t>.</w:t>
      </w:r>
      <w:r w:rsidR="00DF1863">
        <w:t xml:space="preserve"> A questo proposito, </w:t>
      </w:r>
      <w:r w:rsidR="008154BE">
        <w:t xml:space="preserve">sia </w:t>
      </w:r>
      <w:r w:rsidR="00DF1863">
        <w:t>le ore</w:t>
      </w:r>
      <w:r w:rsidR="008154BE">
        <w:t xml:space="preserve"> di lavoro previste che </w:t>
      </w:r>
      <w:r w:rsidR="00DF1863">
        <w:t>quelle risultanti a consuntivo, devo</w:t>
      </w:r>
      <w:r w:rsidR="005413AD">
        <w:t>no</w:t>
      </w:r>
      <w:r w:rsidR="00DF1863">
        <w:t xml:space="preserve"> essere quantificate da un tecnico qualificato</w:t>
      </w:r>
      <w:r w:rsidR="00F63165">
        <w:t>.</w:t>
      </w:r>
    </w:p>
    <w:p w:rsidR="00433158" w:rsidRDefault="00D7271E" w:rsidP="00F63165">
      <w:pPr>
        <w:tabs>
          <w:tab w:val="num" w:pos="-1260"/>
        </w:tabs>
        <w:spacing w:before="120"/>
        <w:ind w:right="126"/>
        <w:jc w:val="both"/>
      </w:pPr>
      <w:r>
        <w:t>In linea generale, non sono ammissibili oper</w:t>
      </w:r>
      <w:r w:rsidR="00E91E79">
        <w:t>e</w:t>
      </w:r>
      <w:r>
        <w:t xml:space="preserve"> di carattere edile</w:t>
      </w:r>
      <w:r w:rsidR="00E91E79">
        <w:t xml:space="preserve"> realizzate direttamente dal beneficiario</w:t>
      </w:r>
      <w:r w:rsidR="00FA14F6">
        <w:t xml:space="preserve"> o qualsiasi altra operazione che il beneficiario non è in grado di realizzare. T</w:t>
      </w:r>
      <w:r>
        <w:t>uttavia,</w:t>
      </w:r>
      <w:r w:rsidR="002749DF">
        <w:t xml:space="preserve"> </w:t>
      </w:r>
      <w:r w:rsidR="004E5B8E">
        <w:t xml:space="preserve">ad esclusione della misura </w:t>
      </w:r>
      <w:r w:rsidR="00810FCD">
        <w:t>4.</w:t>
      </w:r>
      <w:r w:rsidR="00DD7CE4">
        <w:t>2</w:t>
      </w:r>
      <w:r w:rsidR="006D3394">
        <w:t xml:space="preserve"> </w:t>
      </w:r>
      <w:r w:rsidR="004E5B8E">
        <w:t>(</w:t>
      </w:r>
      <w:r w:rsidR="00F63165">
        <w:t>sostegno agli investimenti nel settore della trasformazione/commercializzazione e/o sviluppo di prodotti agricoli)</w:t>
      </w:r>
      <w:r w:rsidR="004E5B8E">
        <w:t xml:space="preserve">, </w:t>
      </w:r>
      <w:r>
        <w:t xml:space="preserve">in </w:t>
      </w:r>
      <w:r w:rsidR="00B03B83">
        <w:t xml:space="preserve">situazioni </w:t>
      </w:r>
      <w:r w:rsidR="0062209A">
        <w:t>particolari</w:t>
      </w:r>
      <w:r w:rsidR="004E5B8E">
        <w:t xml:space="preserve"> legate al contesto locale</w:t>
      </w:r>
      <w:r>
        <w:t xml:space="preserve"> e per interventi di modesta entità, l’</w:t>
      </w:r>
      <w:r w:rsidR="00A55564">
        <w:t>A</w:t>
      </w:r>
      <w:r>
        <w:t>utorità di gestione può derogare a tale principio stabilendo i criteri da adottare.</w:t>
      </w:r>
    </w:p>
    <w:p w:rsidR="002A2FCE" w:rsidRPr="00FA14F6" w:rsidRDefault="002A2FCE" w:rsidP="00273BE4">
      <w:pPr>
        <w:spacing w:before="120"/>
        <w:ind w:right="126"/>
        <w:jc w:val="both"/>
        <w:rPr>
          <w:snapToGrid w:val="0"/>
        </w:rPr>
      </w:pPr>
      <w:r w:rsidRPr="00EE7FA2">
        <w:rPr>
          <w:snapToGrid w:val="0"/>
        </w:rPr>
        <w:t xml:space="preserve">In ogni caso, tanto per la fornitura di beni che per la fornitura </w:t>
      </w:r>
      <w:r w:rsidR="009D7F62" w:rsidRPr="00EE7FA2">
        <w:rPr>
          <w:snapToGrid w:val="0"/>
        </w:rPr>
        <w:t>di servizi</w:t>
      </w:r>
      <w:r w:rsidR="002749DF">
        <w:rPr>
          <w:snapToGrid w:val="0"/>
        </w:rPr>
        <w:t>,</w:t>
      </w:r>
      <w:r w:rsidR="009D7F62" w:rsidRPr="00EE7FA2">
        <w:rPr>
          <w:snapToGrid w:val="0"/>
        </w:rPr>
        <w:t xml:space="preserve"> </w:t>
      </w:r>
      <w:r w:rsidRPr="00EE7FA2">
        <w:rPr>
          <w:snapToGrid w:val="0"/>
        </w:rPr>
        <w:t xml:space="preserve">i relativi costi possono </w:t>
      </w:r>
      <w:r w:rsidR="009D7F62" w:rsidRPr="00EE7FA2">
        <w:rPr>
          <w:snapToGrid w:val="0"/>
        </w:rPr>
        <w:t xml:space="preserve">essere </w:t>
      </w:r>
      <w:r w:rsidRPr="00EE7FA2">
        <w:rPr>
          <w:snapToGrid w:val="0"/>
        </w:rPr>
        <w:t>giudicati ammissibili se il valore degli stessi  “</w:t>
      </w:r>
      <w:r w:rsidR="00737069" w:rsidRPr="00EE7FA2">
        <w:rPr>
          <w:snapToGrid w:val="0"/>
        </w:rPr>
        <w:t>…</w:t>
      </w:r>
      <w:r w:rsidRPr="00EE7FA2">
        <w:rPr>
          <w:snapToGrid w:val="0"/>
        </w:rPr>
        <w:t>p</w:t>
      </w:r>
      <w:r w:rsidRPr="00EE7FA2">
        <w:rPr>
          <w:i/>
          <w:snapToGrid w:val="0"/>
        </w:rPr>
        <w:t>ossa essere valutato e verificato da un organismo indipendente</w:t>
      </w:r>
      <w:r w:rsidRPr="00FA14F6">
        <w:rPr>
          <w:snapToGrid w:val="0"/>
        </w:rPr>
        <w:t>”</w:t>
      </w:r>
      <w:r w:rsidR="00FA14F6" w:rsidRPr="00FA14F6">
        <w:rPr>
          <w:snapToGrid w:val="0"/>
        </w:rPr>
        <w:t xml:space="preserve"> e se è dimostrata la loro verificabilità e controllabilità.</w:t>
      </w:r>
    </w:p>
    <w:p w:rsidR="002A2FCE" w:rsidRPr="00510939" w:rsidRDefault="00110DC3" w:rsidP="00273BE4">
      <w:pPr>
        <w:spacing w:before="120"/>
        <w:ind w:right="126"/>
        <w:jc w:val="both"/>
        <w:rPr>
          <w:snapToGrid w:val="0"/>
        </w:rPr>
      </w:pPr>
      <w:r>
        <w:rPr>
          <w:snapToGrid w:val="0"/>
        </w:rPr>
        <w:t>L</w:t>
      </w:r>
      <w:r w:rsidR="002A2FCE" w:rsidRPr="00EE7FA2">
        <w:rPr>
          <w:snapToGrid w:val="0"/>
        </w:rPr>
        <w:t>’ammissibilità delle suddette tipologie di spesa</w:t>
      </w:r>
      <w:r>
        <w:rPr>
          <w:snapToGrid w:val="0"/>
        </w:rPr>
        <w:t>,</w:t>
      </w:r>
      <w:r w:rsidR="002A2FCE" w:rsidRPr="00EE7FA2">
        <w:rPr>
          <w:snapToGrid w:val="0"/>
        </w:rPr>
        <w:t xml:space="preserve"> </w:t>
      </w:r>
      <w:r>
        <w:rPr>
          <w:snapToGrid w:val="0"/>
        </w:rPr>
        <w:t xml:space="preserve">pertanto, </w:t>
      </w:r>
      <w:r w:rsidR="00810E74" w:rsidRPr="00EE7FA2">
        <w:rPr>
          <w:snapToGrid w:val="0"/>
        </w:rPr>
        <w:t>è legata al rispetto delle</w:t>
      </w:r>
      <w:r w:rsidR="00810E74">
        <w:rPr>
          <w:snapToGrid w:val="0"/>
        </w:rPr>
        <w:t xml:space="preserve"> </w:t>
      </w:r>
      <w:r w:rsidR="002A2FCE">
        <w:rPr>
          <w:snapToGrid w:val="0"/>
        </w:rPr>
        <w:t>seguenti condizioni</w:t>
      </w:r>
      <w:r w:rsidR="002A2FCE" w:rsidRPr="00510939">
        <w:rPr>
          <w:snapToGrid w:val="0"/>
        </w:rPr>
        <w:t>:</w:t>
      </w:r>
    </w:p>
    <w:p w:rsidR="002A2FCE" w:rsidRPr="00510939" w:rsidRDefault="002A2FCE" w:rsidP="0093020D">
      <w:pPr>
        <w:numPr>
          <w:ilvl w:val="0"/>
          <w:numId w:val="7"/>
        </w:numPr>
        <w:spacing w:before="120"/>
        <w:ind w:right="126" w:hanging="540"/>
        <w:jc w:val="both"/>
        <w:rPr>
          <w:snapToGrid w:val="0"/>
        </w:rPr>
      </w:pPr>
      <w:r w:rsidRPr="00510939">
        <w:rPr>
          <w:snapToGrid w:val="0"/>
        </w:rPr>
        <w:t>i lavori</w:t>
      </w:r>
      <w:r w:rsidR="00117044">
        <w:rPr>
          <w:snapToGrid w:val="0"/>
        </w:rPr>
        <w:t>/</w:t>
      </w:r>
      <w:r w:rsidR="00117044" w:rsidRPr="00E412B4">
        <w:rPr>
          <w:snapToGrid w:val="0"/>
        </w:rPr>
        <w:t>forniture</w:t>
      </w:r>
      <w:r w:rsidRPr="00E412B4">
        <w:rPr>
          <w:snapToGrid w:val="0"/>
        </w:rPr>
        <w:t xml:space="preserve"> </w:t>
      </w:r>
      <w:r w:rsidR="00810E74">
        <w:rPr>
          <w:snapToGrid w:val="0"/>
        </w:rPr>
        <w:t>de</w:t>
      </w:r>
      <w:r w:rsidR="00DF6955">
        <w:rPr>
          <w:snapToGrid w:val="0"/>
        </w:rPr>
        <w:t>v</w:t>
      </w:r>
      <w:r w:rsidR="00810E74">
        <w:rPr>
          <w:snapToGrid w:val="0"/>
        </w:rPr>
        <w:t xml:space="preserve">ono essere </w:t>
      </w:r>
      <w:r w:rsidRPr="00510939">
        <w:rPr>
          <w:snapToGrid w:val="0"/>
        </w:rPr>
        <w:t>eseguiti a perfetta regola d’arte;</w:t>
      </w:r>
    </w:p>
    <w:p w:rsidR="002A2FCE" w:rsidRPr="00510939" w:rsidRDefault="002A2FCE" w:rsidP="0093020D">
      <w:pPr>
        <w:numPr>
          <w:ilvl w:val="0"/>
          <w:numId w:val="7"/>
        </w:numPr>
        <w:spacing w:before="120"/>
        <w:ind w:right="126" w:hanging="540"/>
        <w:jc w:val="both"/>
        <w:rPr>
          <w:snapToGrid w:val="0"/>
        </w:rPr>
      </w:pPr>
      <w:r w:rsidRPr="00510939">
        <w:rPr>
          <w:snapToGrid w:val="0"/>
        </w:rPr>
        <w:t>i lavori</w:t>
      </w:r>
      <w:r w:rsidR="00117044">
        <w:rPr>
          <w:snapToGrid w:val="0"/>
        </w:rPr>
        <w:t>/</w:t>
      </w:r>
      <w:r w:rsidR="00117044" w:rsidRPr="00E412B4">
        <w:rPr>
          <w:snapToGrid w:val="0"/>
        </w:rPr>
        <w:t>forniture</w:t>
      </w:r>
      <w:r w:rsidRPr="00510939">
        <w:rPr>
          <w:snapToGrid w:val="0"/>
        </w:rPr>
        <w:t xml:space="preserve"> eseguiti </w:t>
      </w:r>
      <w:r w:rsidR="00810E74">
        <w:rPr>
          <w:snapToGrid w:val="0"/>
        </w:rPr>
        <w:t>de</w:t>
      </w:r>
      <w:r w:rsidR="00DF6955">
        <w:rPr>
          <w:snapToGrid w:val="0"/>
        </w:rPr>
        <w:t>v</w:t>
      </w:r>
      <w:r w:rsidR="00810E74">
        <w:rPr>
          <w:snapToGrid w:val="0"/>
        </w:rPr>
        <w:t xml:space="preserve">ono essere </w:t>
      </w:r>
      <w:r w:rsidRPr="00510939">
        <w:rPr>
          <w:snapToGrid w:val="0"/>
        </w:rPr>
        <w:t>pertinenti con le strutture ed i mezzi tecnici in dotazione, anche temporaneamente, all’azienda;</w:t>
      </w:r>
    </w:p>
    <w:p w:rsidR="002A2FCE" w:rsidRPr="00510939" w:rsidRDefault="002A2FCE" w:rsidP="0093020D">
      <w:pPr>
        <w:numPr>
          <w:ilvl w:val="0"/>
          <w:numId w:val="7"/>
        </w:numPr>
        <w:spacing w:before="120"/>
        <w:ind w:right="126" w:hanging="540"/>
        <w:jc w:val="both"/>
        <w:rPr>
          <w:snapToGrid w:val="0"/>
        </w:rPr>
      </w:pPr>
      <w:r w:rsidRPr="00510939">
        <w:rPr>
          <w:snapToGrid w:val="0"/>
        </w:rPr>
        <w:t xml:space="preserve">il loro valore </w:t>
      </w:r>
      <w:r w:rsidR="00810E74">
        <w:rPr>
          <w:snapToGrid w:val="0"/>
        </w:rPr>
        <w:t xml:space="preserve">deve poter </w:t>
      </w:r>
      <w:r w:rsidRPr="00510939">
        <w:rPr>
          <w:snapToGrid w:val="0"/>
        </w:rPr>
        <w:t>essere soggetto a revisione contabile e valutazione indipendente (computo metrico ecc.);</w:t>
      </w:r>
    </w:p>
    <w:p w:rsidR="002A2FCE" w:rsidRPr="00510939" w:rsidRDefault="00F46EDE" w:rsidP="0093020D">
      <w:pPr>
        <w:numPr>
          <w:ilvl w:val="0"/>
          <w:numId w:val="7"/>
        </w:numPr>
        <w:spacing w:before="120"/>
        <w:ind w:right="126" w:hanging="540"/>
        <w:jc w:val="both"/>
        <w:rPr>
          <w:snapToGrid w:val="0"/>
        </w:rPr>
      </w:pPr>
      <w:r w:rsidRPr="00510939">
        <w:rPr>
          <w:snapToGrid w:val="0"/>
        </w:rPr>
        <w:t>i lavori</w:t>
      </w:r>
      <w:r w:rsidR="00117044">
        <w:rPr>
          <w:snapToGrid w:val="0"/>
        </w:rPr>
        <w:t>/</w:t>
      </w:r>
      <w:r w:rsidR="00117044" w:rsidRPr="00E412B4">
        <w:rPr>
          <w:snapToGrid w:val="0"/>
        </w:rPr>
        <w:t>forniture</w:t>
      </w:r>
      <w:r w:rsidRPr="00510939">
        <w:rPr>
          <w:snapToGrid w:val="0"/>
        </w:rPr>
        <w:t xml:space="preserve"> eseguiti </w:t>
      </w:r>
      <w:r w:rsidR="002A2FCE" w:rsidRPr="00510939">
        <w:rPr>
          <w:snapToGrid w:val="0"/>
        </w:rPr>
        <w:t xml:space="preserve">non </w:t>
      </w:r>
      <w:r w:rsidR="00810E74">
        <w:rPr>
          <w:snapToGrid w:val="0"/>
        </w:rPr>
        <w:t>de</w:t>
      </w:r>
      <w:r w:rsidR="00DF6955">
        <w:rPr>
          <w:snapToGrid w:val="0"/>
        </w:rPr>
        <w:t>v</w:t>
      </w:r>
      <w:r w:rsidR="00810E74">
        <w:rPr>
          <w:snapToGrid w:val="0"/>
        </w:rPr>
        <w:t xml:space="preserve">ono essere </w:t>
      </w:r>
      <w:r w:rsidR="002A2FCE" w:rsidRPr="00510939">
        <w:rPr>
          <w:snapToGrid w:val="0"/>
        </w:rPr>
        <w:t>collegati a misure di ingegneria finanziaria;</w:t>
      </w:r>
    </w:p>
    <w:p w:rsidR="002A2FCE" w:rsidRPr="00510939" w:rsidRDefault="002A2FCE" w:rsidP="0093020D">
      <w:pPr>
        <w:numPr>
          <w:ilvl w:val="0"/>
          <w:numId w:val="7"/>
        </w:numPr>
        <w:spacing w:before="120"/>
        <w:ind w:right="126" w:hanging="540"/>
        <w:jc w:val="both"/>
        <w:rPr>
          <w:snapToGrid w:val="0"/>
        </w:rPr>
      </w:pPr>
      <w:r w:rsidRPr="00510939">
        <w:rPr>
          <w:snapToGrid w:val="0"/>
        </w:rPr>
        <w:t xml:space="preserve">se trattasi di prestazioni volontarie non retribuite, il loro valore </w:t>
      </w:r>
      <w:r w:rsidR="005413AD">
        <w:rPr>
          <w:snapToGrid w:val="0"/>
        </w:rPr>
        <w:t>sia</w:t>
      </w:r>
      <w:r w:rsidR="00810E74">
        <w:rPr>
          <w:snapToGrid w:val="0"/>
        </w:rPr>
        <w:t xml:space="preserve"> </w:t>
      </w:r>
      <w:r w:rsidRPr="00510939">
        <w:rPr>
          <w:snapToGrid w:val="0"/>
        </w:rPr>
        <w:t>determinato tenendo conto delle capacità fisico/professionali, del tempo effettivamente prestat</w:t>
      </w:r>
      <w:r w:rsidR="00F46EDE">
        <w:rPr>
          <w:snapToGrid w:val="0"/>
        </w:rPr>
        <w:t>o in “condizioni di ordinarietà</w:t>
      </w:r>
      <w:r w:rsidRPr="00510939">
        <w:rPr>
          <w:snapToGrid w:val="0"/>
        </w:rPr>
        <w:t xml:space="preserve">” e delle normali tariffe orarie/giornaliere </w:t>
      </w:r>
      <w:r w:rsidR="005413AD" w:rsidRPr="00510939">
        <w:rPr>
          <w:snapToGrid w:val="0"/>
        </w:rPr>
        <w:t>in vigore per l’attività eseguita</w:t>
      </w:r>
      <w:r w:rsidR="005413AD">
        <w:rPr>
          <w:snapToGrid w:val="0"/>
        </w:rPr>
        <w:t>, stabilite dai</w:t>
      </w:r>
      <w:r w:rsidR="005413AD" w:rsidRPr="00510939">
        <w:rPr>
          <w:snapToGrid w:val="0"/>
        </w:rPr>
        <w:t xml:space="preserve"> </w:t>
      </w:r>
      <w:r w:rsidRPr="00510939">
        <w:rPr>
          <w:snapToGrid w:val="0"/>
        </w:rPr>
        <w:t xml:space="preserve">prezzari regionali </w:t>
      </w:r>
      <w:r w:rsidR="004A622A">
        <w:rPr>
          <w:snapToGrid w:val="0"/>
        </w:rPr>
        <w:t xml:space="preserve">e delle </w:t>
      </w:r>
      <w:r w:rsidR="00150B64">
        <w:rPr>
          <w:snapToGrid w:val="0"/>
        </w:rPr>
        <w:t>P</w:t>
      </w:r>
      <w:r w:rsidR="004A622A">
        <w:rPr>
          <w:snapToGrid w:val="0"/>
        </w:rPr>
        <w:t>rovince autonome</w:t>
      </w:r>
      <w:r w:rsidR="00387AA7">
        <w:rPr>
          <w:snapToGrid w:val="0"/>
        </w:rPr>
        <w:t xml:space="preserve">; </w:t>
      </w:r>
    </w:p>
    <w:p w:rsidR="002A2FCE" w:rsidRPr="00510939" w:rsidRDefault="002A2FCE" w:rsidP="0093020D">
      <w:pPr>
        <w:numPr>
          <w:ilvl w:val="0"/>
          <w:numId w:val="7"/>
        </w:numPr>
        <w:spacing w:before="120"/>
        <w:ind w:right="126" w:hanging="540"/>
        <w:jc w:val="both"/>
        <w:rPr>
          <w:snapToGrid w:val="0"/>
        </w:rPr>
      </w:pPr>
      <w:r w:rsidRPr="00510939">
        <w:rPr>
          <w:snapToGrid w:val="0"/>
        </w:rPr>
        <w:t xml:space="preserve">se trattasi di apporto di terreni o immobili, il loro valore </w:t>
      </w:r>
      <w:r w:rsidR="005413AD">
        <w:rPr>
          <w:snapToGrid w:val="0"/>
        </w:rPr>
        <w:t>sia</w:t>
      </w:r>
      <w:r w:rsidR="00810E74">
        <w:rPr>
          <w:snapToGrid w:val="0"/>
        </w:rPr>
        <w:t xml:space="preserve"> </w:t>
      </w:r>
      <w:r w:rsidRPr="00510939">
        <w:rPr>
          <w:snapToGrid w:val="0"/>
        </w:rPr>
        <w:t>certificato da un professionista qualificato e indipendente o da un ente abilitato;</w:t>
      </w:r>
    </w:p>
    <w:p w:rsidR="002A2FCE" w:rsidRDefault="002A2FCE" w:rsidP="0093020D">
      <w:pPr>
        <w:numPr>
          <w:ilvl w:val="0"/>
          <w:numId w:val="7"/>
        </w:numPr>
        <w:spacing w:before="120"/>
        <w:ind w:right="126" w:hanging="540"/>
        <w:jc w:val="both"/>
        <w:rPr>
          <w:snapToGrid w:val="0"/>
        </w:rPr>
      </w:pPr>
      <w:r w:rsidRPr="00510939">
        <w:rPr>
          <w:snapToGrid w:val="0"/>
        </w:rPr>
        <w:t xml:space="preserve">sia possibile effettuare valutazioni comparative tra il valore del bene disponibile in natura e quelli simili elencati nei prezzari regionali </w:t>
      </w:r>
      <w:r w:rsidR="00AD0AB6">
        <w:rPr>
          <w:snapToGrid w:val="0"/>
        </w:rPr>
        <w:t xml:space="preserve">e delle </w:t>
      </w:r>
      <w:r w:rsidR="00895BBE">
        <w:rPr>
          <w:snapToGrid w:val="0"/>
        </w:rPr>
        <w:t>P</w:t>
      </w:r>
      <w:r w:rsidR="00AD0AB6">
        <w:rPr>
          <w:snapToGrid w:val="0"/>
        </w:rPr>
        <w:t xml:space="preserve">rovince autonome </w:t>
      </w:r>
      <w:r w:rsidR="000943A1">
        <w:rPr>
          <w:snapToGrid w:val="0"/>
        </w:rPr>
        <w:t>vigenti;</w:t>
      </w:r>
    </w:p>
    <w:p w:rsidR="000943A1" w:rsidRPr="00510939" w:rsidRDefault="000943A1" w:rsidP="0093020D">
      <w:pPr>
        <w:numPr>
          <w:ilvl w:val="0"/>
          <w:numId w:val="7"/>
        </w:numPr>
        <w:spacing w:before="120"/>
        <w:ind w:right="126" w:hanging="540"/>
        <w:jc w:val="both"/>
        <w:rPr>
          <w:snapToGrid w:val="0"/>
        </w:rPr>
      </w:pPr>
      <w:r>
        <w:rPr>
          <w:snapToGrid w:val="0"/>
        </w:rPr>
        <w:t>che esse siano verificabili e controllabili.</w:t>
      </w:r>
    </w:p>
    <w:p w:rsidR="00F32AEF" w:rsidRPr="00510939" w:rsidRDefault="00F32AEF" w:rsidP="00273BE4">
      <w:pPr>
        <w:spacing w:before="120"/>
        <w:ind w:right="126"/>
        <w:jc w:val="both"/>
      </w:pPr>
      <w:r w:rsidRPr="00431AF9">
        <w:t xml:space="preserve">Quando i materiali di consumo sono reperibili direttamente in azienda (contributo in natura), il </w:t>
      </w:r>
      <w:r w:rsidR="005413AD">
        <w:t xml:space="preserve">relativo </w:t>
      </w:r>
      <w:r w:rsidRPr="00431AF9">
        <w:t xml:space="preserve">valore </w:t>
      </w:r>
      <w:r w:rsidR="005413AD">
        <w:t xml:space="preserve">deve essere determinato </w:t>
      </w:r>
      <w:r w:rsidRPr="00431AF9">
        <w:t xml:space="preserve"> in base al prezzario aggiornato</w:t>
      </w:r>
      <w:r w:rsidR="001178EC">
        <w:t xml:space="preserve"> utilizzato </w:t>
      </w:r>
      <w:r w:rsidR="00150B64">
        <w:t>dalle Regioni e P</w:t>
      </w:r>
      <w:r w:rsidR="004A622A">
        <w:t>rovince autonome</w:t>
      </w:r>
      <w:r w:rsidR="001178EC">
        <w:t>.</w:t>
      </w:r>
      <w:r w:rsidRPr="00431AF9">
        <w:t xml:space="preserve"> Nel caso in cui </w:t>
      </w:r>
      <w:r w:rsidR="004A622A">
        <w:t>tale</w:t>
      </w:r>
      <w:r w:rsidR="004A622A" w:rsidRPr="00431AF9">
        <w:t xml:space="preserve"> </w:t>
      </w:r>
      <w:r w:rsidR="00A55564" w:rsidRPr="00431AF9">
        <w:t>prez</w:t>
      </w:r>
      <w:r w:rsidR="00A55564">
        <w:t>z</w:t>
      </w:r>
      <w:r w:rsidR="00A55564" w:rsidRPr="00431AF9">
        <w:t xml:space="preserve">ario </w:t>
      </w:r>
      <w:r w:rsidRPr="00431AF9">
        <w:t xml:space="preserve">non preveda la voce di spesa relativa al bene fornito in natura, occorre produrre una certificazione dalla quale risulti l’idoneità del materiale fornito ed il </w:t>
      </w:r>
      <w:r w:rsidR="00C502A4">
        <w:t xml:space="preserve">relativo </w:t>
      </w:r>
      <w:r w:rsidRPr="00431AF9">
        <w:t>valore.</w:t>
      </w:r>
    </w:p>
    <w:p w:rsidR="00EC6F36" w:rsidRDefault="00EC6F36" w:rsidP="00273BE4">
      <w:pPr>
        <w:spacing w:before="120"/>
        <w:ind w:right="126"/>
        <w:jc w:val="both"/>
        <w:rPr>
          <w:bCs/>
          <w:szCs w:val="20"/>
        </w:rPr>
      </w:pPr>
      <w:r>
        <w:rPr>
          <w:snapToGrid w:val="0"/>
        </w:rPr>
        <w:t xml:space="preserve">Il limite massimo per questa tipologia di </w:t>
      </w:r>
      <w:r w:rsidR="001F299C">
        <w:rPr>
          <w:snapToGrid w:val="0"/>
        </w:rPr>
        <w:t xml:space="preserve">spesa </w:t>
      </w:r>
      <w:r>
        <w:rPr>
          <w:snapToGrid w:val="0"/>
        </w:rPr>
        <w:t xml:space="preserve">è indicato </w:t>
      </w:r>
      <w:r w:rsidR="00C502A4">
        <w:rPr>
          <w:snapToGrid w:val="0"/>
        </w:rPr>
        <w:t>a</w:t>
      </w:r>
      <w:r>
        <w:rPr>
          <w:snapToGrid w:val="0"/>
        </w:rPr>
        <w:t xml:space="preserve">l comma </w:t>
      </w:r>
      <w:r w:rsidR="00522292">
        <w:rPr>
          <w:snapToGrid w:val="0"/>
        </w:rPr>
        <w:t>1</w:t>
      </w:r>
      <w:r w:rsidR="009950AE">
        <w:rPr>
          <w:snapToGrid w:val="0"/>
        </w:rPr>
        <w:t>,</w:t>
      </w:r>
      <w:r w:rsidR="00522292">
        <w:rPr>
          <w:snapToGrid w:val="0"/>
        </w:rPr>
        <w:t xml:space="preserve"> lett. a)  </w:t>
      </w:r>
      <w:r>
        <w:rPr>
          <w:snapToGrid w:val="0"/>
        </w:rPr>
        <w:t>d</w:t>
      </w:r>
      <w:r w:rsidRPr="00510939">
        <w:rPr>
          <w:snapToGrid w:val="0"/>
        </w:rPr>
        <w:t>el</w:t>
      </w:r>
      <w:r w:rsidR="00C502A4">
        <w:rPr>
          <w:snapToGrid w:val="0"/>
        </w:rPr>
        <w:t>l’</w:t>
      </w:r>
      <w:r w:rsidRPr="00510939">
        <w:rPr>
          <w:snapToGrid w:val="0"/>
        </w:rPr>
        <w:t xml:space="preserve">art. </w:t>
      </w:r>
      <w:r w:rsidR="00F63165">
        <w:rPr>
          <w:snapToGrid w:val="0"/>
        </w:rPr>
        <w:t>69</w:t>
      </w:r>
      <w:r w:rsidR="00F63165" w:rsidRPr="00510939">
        <w:rPr>
          <w:bCs/>
          <w:szCs w:val="20"/>
        </w:rPr>
        <w:t xml:space="preserve"> </w:t>
      </w:r>
      <w:r w:rsidR="00C502A4" w:rsidRPr="00510939">
        <w:rPr>
          <w:bCs/>
          <w:szCs w:val="20"/>
        </w:rPr>
        <w:t>del Reg</w:t>
      </w:r>
      <w:r w:rsidR="00C502A4">
        <w:rPr>
          <w:bCs/>
          <w:szCs w:val="20"/>
        </w:rPr>
        <w:t>.</w:t>
      </w:r>
      <w:r w:rsidR="00C502A4" w:rsidRPr="00510939">
        <w:rPr>
          <w:bCs/>
          <w:szCs w:val="20"/>
        </w:rPr>
        <w:t xml:space="preserve"> (</w:t>
      </w:r>
      <w:r w:rsidR="00F63165">
        <w:rPr>
          <w:bCs/>
          <w:szCs w:val="20"/>
        </w:rPr>
        <w:t>U</w:t>
      </w:r>
      <w:r w:rsidR="00F63165" w:rsidRPr="00510939">
        <w:rPr>
          <w:bCs/>
          <w:szCs w:val="20"/>
        </w:rPr>
        <w:t>E</w:t>
      </w:r>
      <w:r w:rsidR="00C502A4" w:rsidRPr="00510939">
        <w:rPr>
          <w:bCs/>
          <w:szCs w:val="20"/>
        </w:rPr>
        <w:t xml:space="preserve">) n. </w:t>
      </w:r>
      <w:r w:rsidR="00F63165">
        <w:rPr>
          <w:bCs/>
          <w:szCs w:val="20"/>
        </w:rPr>
        <w:t>1303</w:t>
      </w:r>
      <w:r w:rsidR="00C502A4" w:rsidRPr="00510939">
        <w:rPr>
          <w:bCs/>
          <w:szCs w:val="20"/>
        </w:rPr>
        <w:t>/</w:t>
      </w:r>
      <w:r w:rsidR="009950AE">
        <w:rPr>
          <w:bCs/>
          <w:szCs w:val="20"/>
        </w:rPr>
        <w:t>20</w:t>
      </w:r>
      <w:r w:rsidR="00F63165">
        <w:rPr>
          <w:bCs/>
          <w:szCs w:val="20"/>
        </w:rPr>
        <w:t>13</w:t>
      </w:r>
      <w:r w:rsidR="00C502A4">
        <w:rPr>
          <w:bCs/>
          <w:szCs w:val="20"/>
        </w:rPr>
        <w:t xml:space="preserve">, </w:t>
      </w:r>
      <w:r>
        <w:rPr>
          <w:snapToGrid w:val="0"/>
        </w:rPr>
        <w:t xml:space="preserve">che </w:t>
      </w:r>
      <w:r w:rsidR="00522292">
        <w:rPr>
          <w:snapToGrid w:val="0"/>
        </w:rPr>
        <w:t xml:space="preserve">dispone </w:t>
      </w:r>
      <w:r w:rsidRPr="00C502A4">
        <w:rPr>
          <w:i/>
          <w:snapToGrid w:val="0"/>
        </w:rPr>
        <w:t>“</w:t>
      </w:r>
      <w:r w:rsidR="00522292" w:rsidRPr="00522292">
        <w:rPr>
          <w:bCs/>
          <w:i/>
          <w:szCs w:val="20"/>
        </w:rPr>
        <w:t xml:space="preserve"> il sostegno pubblico a favore dell'operazione che comprende contributi in natura non supera il totale delle spese ammissibili, esclusi i contributi in natura, al termine dell'operazione;</w:t>
      </w:r>
      <w:r w:rsidRPr="00C502A4">
        <w:rPr>
          <w:bCs/>
          <w:szCs w:val="20"/>
        </w:rPr>
        <w:t>”</w:t>
      </w:r>
      <w:r w:rsidR="00C502A4">
        <w:rPr>
          <w:bCs/>
          <w:szCs w:val="20"/>
        </w:rPr>
        <w:t>.</w:t>
      </w:r>
    </w:p>
    <w:p w:rsidR="002749DF" w:rsidRDefault="001F299C" w:rsidP="00273BE4">
      <w:pPr>
        <w:spacing w:before="120"/>
        <w:ind w:right="126"/>
        <w:jc w:val="both"/>
        <w:rPr>
          <w:bCs/>
          <w:szCs w:val="20"/>
        </w:rPr>
      </w:pPr>
      <w:r>
        <w:rPr>
          <w:bCs/>
          <w:szCs w:val="20"/>
        </w:rPr>
        <w:t>In sostanza, la spesa pubblica cofinanziata dal FEASR deve essere minore o uguale alla differenza tra il costo totale dell’investimento ed il costo del materiale</w:t>
      </w:r>
      <w:r w:rsidR="00AB09BA">
        <w:rPr>
          <w:bCs/>
          <w:szCs w:val="20"/>
        </w:rPr>
        <w:t xml:space="preserve"> e delle prestazioni</w:t>
      </w:r>
      <w:r>
        <w:rPr>
          <w:bCs/>
          <w:szCs w:val="20"/>
        </w:rPr>
        <w:t xml:space="preserve"> in natura.</w:t>
      </w:r>
    </w:p>
    <w:p w:rsidR="00A379DC" w:rsidRDefault="00A379DC" w:rsidP="00273BE4">
      <w:pPr>
        <w:spacing w:before="120"/>
        <w:ind w:right="126"/>
        <w:jc w:val="both"/>
        <w:rPr>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63A93" w:rsidRPr="00181592">
        <w:tc>
          <w:tcPr>
            <w:tcW w:w="9778" w:type="dxa"/>
          </w:tcPr>
          <w:p w:rsidR="001F299C" w:rsidRDefault="001F299C" w:rsidP="00273BE4">
            <w:pPr>
              <w:ind w:right="126"/>
              <w:jc w:val="both"/>
              <w:rPr>
                <w:snapToGrid w:val="0"/>
              </w:rPr>
            </w:pPr>
            <w:r w:rsidRPr="00181592">
              <w:rPr>
                <w:snapToGrid w:val="0"/>
              </w:rPr>
              <w:t>A ≤ (B – C)</w:t>
            </w:r>
          </w:p>
          <w:p w:rsidR="001F299C" w:rsidRDefault="001F299C" w:rsidP="00273BE4">
            <w:pPr>
              <w:ind w:right="126"/>
              <w:jc w:val="both"/>
              <w:rPr>
                <w:snapToGrid w:val="0"/>
              </w:rPr>
            </w:pPr>
            <w:r>
              <w:rPr>
                <w:snapToGrid w:val="0"/>
              </w:rPr>
              <w:t xml:space="preserve">Dove: </w:t>
            </w:r>
          </w:p>
          <w:p w:rsidR="00363A93" w:rsidRPr="00181592" w:rsidRDefault="001F299C" w:rsidP="00273BE4">
            <w:pPr>
              <w:ind w:right="126"/>
              <w:jc w:val="both"/>
              <w:rPr>
                <w:snapToGrid w:val="0"/>
              </w:rPr>
            </w:pPr>
            <w:r w:rsidRPr="00181592">
              <w:rPr>
                <w:snapToGrid w:val="0"/>
              </w:rPr>
              <w:t>A =</w:t>
            </w:r>
            <w:r>
              <w:rPr>
                <w:snapToGrid w:val="0"/>
              </w:rPr>
              <w:t xml:space="preserve"> </w:t>
            </w:r>
            <w:r w:rsidR="00363A93" w:rsidRPr="00181592">
              <w:rPr>
                <w:snapToGrid w:val="0"/>
              </w:rPr>
              <w:t>Spesa pubblica cofinanziata dal F</w:t>
            </w:r>
            <w:r w:rsidR="009950AE">
              <w:rPr>
                <w:snapToGrid w:val="0"/>
              </w:rPr>
              <w:t>EASR</w:t>
            </w:r>
            <w:r w:rsidR="00363A93" w:rsidRPr="00181592">
              <w:rPr>
                <w:snapToGrid w:val="0"/>
              </w:rPr>
              <w:t xml:space="preserve"> (Contributo pubblico totale) </w:t>
            </w:r>
          </w:p>
          <w:p w:rsidR="00363A93" w:rsidRPr="00181592" w:rsidRDefault="001F299C" w:rsidP="00273BE4">
            <w:pPr>
              <w:ind w:right="126"/>
              <w:jc w:val="both"/>
              <w:rPr>
                <w:snapToGrid w:val="0"/>
              </w:rPr>
            </w:pPr>
            <w:r w:rsidRPr="00181592">
              <w:rPr>
                <w:snapToGrid w:val="0"/>
              </w:rPr>
              <w:t>B =</w:t>
            </w:r>
            <w:r>
              <w:rPr>
                <w:snapToGrid w:val="0"/>
              </w:rPr>
              <w:t xml:space="preserve"> </w:t>
            </w:r>
            <w:r w:rsidR="00363A93" w:rsidRPr="00181592">
              <w:rPr>
                <w:snapToGrid w:val="0"/>
              </w:rPr>
              <w:t xml:space="preserve">Spesa totale ammissibile </w:t>
            </w:r>
            <w:r w:rsidR="001F3F4E" w:rsidRPr="00181592">
              <w:rPr>
                <w:snapToGrid w:val="0"/>
              </w:rPr>
              <w:t xml:space="preserve">(Costo totale dell’investimento ammesso </w:t>
            </w:r>
            <w:r w:rsidR="008D261F">
              <w:rPr>
                <w:snapToGrid w:val="0"/>
              </w:rPr>
              <w:t xml:space="preserve"> ad operazione ultimata</w:t>
            </w:r>
            <w:r w:rsidR="001F3F4E" w:rsidRPr="00181592">
              <w:rPr>
                <w:snapToGrid w:val="0"/>
              </w:rPr>
              <w:t xml:space="preserve">) </w:t>
            </w:r>
          </w:p>
          <w:p w:rsidR="001F3F4E" w:rsidRPr="00181592" w:rsidRDefault="001F299C" w:rsidP="00273BE4">
            <w:pPr>
              <w:ind w:right="126"/>
              <w:jc w:val="both"/>
              <w:rPr>
                <w:snapToGrid w:val="0"/>
              </w:rPr>
            </w:pPr>
            <w:r w:rsidRPr="00181592">
              <w:rPr>
                <w:snapToGrid w:val="0"/>
              </w:rPr>
              <w:t>C =</w:t>
            </w:r>
            <w:r>
              <w:rPr>
                <w:snapToGrid w:val="0"/>
              </w:rPr>
              <w:t xml:space="preserve"> </w:t>
            </w:r>
            <w:r w:rsidR="00363A93" w:rsidRPr="00181592">
              <w:rPr>
                <w:snapToGrid w:val="0"/>
              </w:rPr>
              <w:t xml:space="preserve">Contributi totali in natura </w:t>
            </w:r>
            <w:r w:rsidR="001F3F4E" w:rsidRPr="00181592">
              <w:rPr>
                <w:snapToGrid w:val="0"/>
              </w:rPr>
              <w:t xml:space="preserve">(Costo del materiale </w:t>
            </w:r>
            <w:r w:rsidR="00AB09BA">
              <w:rPr>
                <w:snapToGrid w:val="0"/>
              </w:rPr>
              <w:t xml:space="preserve">e delle prestazioni </w:t>
            </w:r>
            <w:r w:rsidR="001F3F4E" w:rsidRPr="00181592">
              <w:rPr>
                <w:snapToGrid w:val="0"/>
              </w:rPr>
              <w:t xml:space="preserve"> in natura) </w:t>
            </w:r>
          </w:p>
        </w:tc>
      </w:tr>
    </w:tbl>
    <w:p w:rsidR="009659FD" w:rsidRDefault="009659FD" w:rsidP="00273BE4">
      <w:pPr>
        <w:spacing w:before="120"/>
        <w:ind w:right="126"/>
        <w:jc w:val="both"/>
        <w:rPr>
          <w:snapToGrid w:val="0"/>
        </w:rPr>
      </w:pPr>
    </w:p>
    <w:p w:rsidR="005B49F4" w:rsidRDefault="005B49F4" w:rsidP="00273BE4">
      <w:pPr>
        <w:spacing w:before="120"/>
        <w:ind w:right="126"/>
        <w:jc w:val="both"/>
        <w:rPr>
          <w:snapToGrid w:val="0"/>
        </w:rPr>
      </w:pPr>
      <w:r w:rsidRPr="005B49F4">
        <w:rPr>
          <w:snapToGrid w:val="0"/>
        </w:rPr>
        <w:t xml:space="preserve">Tuttavia, </w:t>
      </w:r>
      <w:r w:rsidR="00417C0E">
        <w:rPr>
          <w:snapToGrid w:val="0"/>
        </w:rPr>
        <w:t>l’applicazione della</w:t>
      </w:r>
      <w:r w:rsidR="00A067A2">
        <w:rPr>
          <w:snapToGrid w:val="0"/>
        </w:rPr>
        <w:t xml:space="preserve"> </w:t>
      </w:r>
      <w:r w:rsidRPr="005B49F4">
        <w:rPr>
          <w:snapToGrid w:val="0"/>
        </w:rPr>
        <w:t>suddetta formula</w:t>
      </w:r>
      <w:r w:rsidR="00A067A2">
        <w:rPr>
          <w:snapToGrid w:val="0"/>
        </w:rPr>
        <w:t xml:space="preserve"> può </w:t>
      </w:r>
      <w:r w:rsidR="00417C0E">
        <w:rPr>
          <w:snapToGrid w:val="0"/>
        </w:rPr>
        <w:t>comportare</w:t>
      </w:r>
      <w:r w:rsidR="00A067A2">
        <w:rPr>
          <w:snapToGrid w:val="0"/>
        </w:rPr>
        <w:t xml:space="preserve"> che le spese effettuate in natura siano di fatto </w:t>
      </w:r>
      <w:r w:rsidR="00417C0E">
        <w:rPr>
          <w:snapToGrid w:val="0"/>
        </w:rPr>
        <w:t xml:space="preserve">non </w:t>
      </w:r>
      <w:r w:rsidR="00A067A2">
        <w:rPr>
          <w:snapToGrid w:val="0"/>
        </w:rPr>
        <w:t>ammissibili</w:t>
      </w:r>
      <w:r w:rsidRPr="005B49F4">
        <w:rPr>
          <w:snapToGrid w:val="0"/>
        </w:rPr>
        <w:t>.</w:t>
      </w:r>
    </w:p>
    <w:p w:rsidR="005C7184" w:rsidRDefault="005C7184" w:rsidP="00273BE4">
      <w:pPr>
        <w:ind w:right="126"/>
        <w:jc w:val="both"/>
        <w:rPr>
          <w:snapToGrid w:val="0"/>
        </w:rPr>
      </w:pPr>
    </w:p>
    <w:p w:rsidR="005B49F4" w:rsidRPr="005B49F4" w:rsidRDefault="00A067A2" w:rsidP="00273BE4">
      <w:pPr>
        <w:ind w:right="126"/>
        <w:jc w:val="both"/>
      </w:pPr>
      <w:r>
        <w:rPr>
          <w:snapToGrid w:val="0"/>
        </w:rPr>
        <w:t>Ad esempio</w:t>
      </w:r>
      <w:r w:rsidR="005B49F4" w:rsidRPr="005B49F4">
        <w:rPr>
          <w:snapToGrid w:val="0"/>
        </w:rPr>
        <w:t>, per determinate misure di investimento in cui è possibile erogare un contributo pubblico per un importo pari al 100% del valore dell’investimento (come</w:t>
      </w:r>
      <w:r w:rsidR="005B563D">
        <w:rPr>
          <w:snapToGrid w:val="0"/>
        </w:rPr>
        <w:t xml:space="preserve"> ad esempio</w:t>
      </w:r>
      <w:r w:rsidR="005B49F4" w:rsidRPr="005B49F4">
        <w:rPr>
          <w:snapToGrid w:val="0"/>
        </w:rPr>
        <w:t xml:space="preserve"> le misure</w:t>
      </w:r>
      <w:r w:rsidR="005B563D">
        <w:rPr>
          <w:snapToGrid w:val="0"/>
        </w:rPr>
        <w:t xml:space="preserve"> </w:t>
      </w:r>
      <w:r w:rsidR="00522292">
        <w:rPr>
          <w:snapToGrid w:val="0"/>
        </w:rPr>
        <w:t>4.4 e 8</w:t>
      </w:r>
      <w:r w:rsidR="005B49F4" w:rsidRPr="005B49F4">
        <w:rPr>
          <w:snapToGrid w:val="0"/>
        </w:rPr>
        <w:t xml:space="preserve">) il contributo in natura è totalmente escluso dal finanziamento pubblico e quindi, di fatto, non ammissibile. </w:t>
      </w:r>
      <w:r w:rsidR="005B49F4" w:rsidRPr="005B49F4">
        <w:t>Alcuni esempi numerici che possono aiutare a capire meglio la questione sono riportati nel box sottostante:</w:t>
      </w:r>
    </w:p>
    <w:p w:rsidR="009659FD" w:rsidRDefault="009659FD" w:rsidP="00273BE4">
      <w:pPr>
        <w:ind w:right="126"/>
        <w:jc w:val="both"/>
        <w:rPr>
          <w:highlight w:val="yellow"/>
        </w:rPr>
      </w:pPr>
    </w:p>
    <w:p w:rsidR="009659FD" w:rsidRPr="000B2712" w:rsidRDefault="009659FD" w:rsidP="00273BE4">
      <w:pPr>
        <w:ind w:right="126"/>
        <w:jc w:val="both"/>
        <w:rPr>
          <w:highlight w:val="yellow"/>
        </w:rPr>
      </w:pP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 xml:space="preserve">Data la formula   A ≤ B –C    derivante dal paragrafo </w:t>
      </w:r>
      <w:r w:rsidR="00522292">
        <w:t>1</w:t>
      </w:r>
      <w:r w:rsidR="00522292" w:rsidRPr="005B49F4">
        <w:t xml:space="preserve"> </w:t>
      </w:r>
      <w:r w:rsidRPr="005B49F4">
        <w:t xml:space="preserve">dell’articolo </w:t>
      </w:r>
      <w:r w:rsidR="00522292">
        <w:t>69</w:t>
      </w:r>
      <w:r w:rsidR="005B563D">
        <w:t xml:space="preserve"> </w:t>
      </w:r>
      <w:r w:rsidRPr="005B49F4">
        <w:t>in cui</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A = contributo pubblico erogabile</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B = costo totale dell’operazione</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 xml:space="preserve">C = contributo in natura </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e ipotizzando una misura con contributo pubblico pari al 100% del costo totale dell’operazione, si possono avere varie fattispecie da prendere ad esempio:</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p>
    <w:p w:rsidR="005B49F4" w:rsidRPr="005B49F4" w:rsidRDefault="005B49F4" w:rsidP="0093020D">
      <w:pPr>
        <w:pStyle w:val="Paragrafoelenco"/>
        <w:numPr>
          <w:ilvl w:val="0"/>
          <w:numId w:val="21"/>
        </w:numPr>
        <w:pBdr>
          <w:top w:val="single" w:sz="4" w:space="1" w:color="auto"/>
          <w:left w:val="single" w:sz="4" w:space="4" w:color="auto"/>
          <w:bottom w:val="single" w:sz="4" w:space="1" w:color="auto"/>
          <w:right w:val="single" w:sz="4" w:space="4" w:color="auto"/>
        </w:pBdr>
        <w:ind w:left="426" w:right="126" w:hanging="426"/>
        <w:rPr>
          <w:rFonts w:ascii="Times New Roman" w:eastAsia="Times New Roman" w:hAnsi="Times New Roman"/>
          <w:sz w:val="24"/>
          <w:szCs w:val="24"/>
          <w:lang w:eastAsia="it-IT"/>
        </w:rPr>
      </w:pPr>
      <w:r w:rsidRPr="005B49F4">
        <w:rPr>
          <w:rFonts w:ascii="Times New Roman" w:eastAsia="Times New Roman" w:hAnsi="Times New Roman"/>
          <w:sz w:val="24"/>
          <w:szCs w:val="24"/>
          <w:lang w:eastAsia="it-IT"/>
        </w:rPr>
        <w:t>B = 100</w:t>
      </w:r>
      <w:r w:rsidRPr="005B49F4">
        <w:rPr>
          <w:rFonts w:ascii="Times New Roman" w:eastAsia="Times New Roman" w:hAnsi="Times New Roman"/>
          <w:sz w:val="24"/>
          <w:szCs w:val="24"/>
          <w:lang w:eastAsia="it-IT"/>
        </w:rPr>
        <w:tab/>
      </w:r>
      <w:r w:rsidRPr="005B49F4">
        <w:rPr>
          <w:rFonts w:ascii="Times New Roman" w:eastAsia="Times New Roman" w:hAnsi="Times New Roman"/>
          <w:sz w:val="24"/>
          <w:szCs w:val="24"/>
          <w:lang w:eastAsia="it-IT"/>
        </w:rPr>
        <w:tab/>
        <w:t>C = 20</w:t>
      </w:r>
    </w:p>
    <w:p w:rsidR="005B49F4" w:rsidRPr="005B49F4" w:rsidRDefault="005B49F4" w:rsidP="00273BE4">
      <w:pPr>
        <w:pStyle w:val="Paragrafoelenco"/>
        <w:pBdr>
          <w:top w:val="single" w:sz="4" w:space="1" w:color="auto"/>
          <w:left w:val="single" w:sz="4" w:space="4" w:color="auto"/>
          <w:bottom w:val="single" w:sz="4" w:space="1" w:color="auto"/>
          <w:right w:val="single" w:sz="4" w:space="4" w:color="auto"/>
        </w:pBdr>
        <w:ind w:left="0" w:right="126"/>
        <w:rPr>
          <w:rFonts w:ascii="Times New Roman" w:eastAsia="Times New Roman" w:hAnsi="Times New Roman"/>
          <w:sz w:val="24"/>
          <w:szCs w:val="24"/>
          <w:lang w:eastAsia="it-IT"/>
        </w:rPr>
      </w:pPr>
    </w:p>
    <w:p w:rsidR="005B49F4" w:rsidRPr="005B49F4" w:rsidRDefault="005B49F4" w:rsidP="00273BE4">
      <w:pPr>
        <w:pStyle w:val="Paragrafoelenco"/>
        <w:pBdr>
          <w:top w:val="single" w:sz="4" w:space="1" w:color="auto"/>
          <w:left w:val="single" w:sz="4" w:space="4" w:color="auto"/>
          <w:bottom w:val="single" w:sz="4" w:space="1" w:color="auto"/>
          <w:right w:val="single" w:sz="4" w:space="4" w:color="auto"/>
        </w:pBdr>
        <w:ind w:left="0" w:right="126"/>
        <w:rPr>
          <w:rFonts w:ascii="Times New Roman" w:eastAsia="Times New Roman" w:hAnsi="Times New Roman"/>
          <w:sz w:val="24"/>
          <w:szCs w:val="24"/>
          <w:lang w:eastAsia="it-IT"/>
        </w:rPr>
      </w:pPr>
      <w:r w:rsidRPr="005B49F4">
        <w:rPr>
          <w:rFonts w:ascii="Times New Roman" w:eastAsia="Times New Roman" w:hAnsi="Times New Roman"/>
          <w:sz w:val="24"/>
          <w:szCs w:val="24"/>
          <w:lang w:eastAsia="it-IT"/>
        </w:rPr>
        <w:t>applicando la formula sopra riportata si avrà: A ≤ 100 - 20   → A ≤ 80.</w:t>
      </w:r>
    </w:p>
    <w:p w:rsidR="005B49F4" w:rsidRPr="005B49F4" w:rsidRDefault="005B49F4" w:rsidP="00273BE4">
      <w:pPr>
        <w:pStyle w:val="Paragrafoelenco"/>
        <w:pBdr>
          <w:top w:val="single" w:sz="4" w:space="1" w:color="auto"/>
          <w:left w:val="single" w:sz="4" w:space="4" w:color="auto"/>
          <w:bottom w:val="single" w:sz="4" w:space="1" w:color="auto"/>
          <w:right w:val="single" w:sz="4" w:space="4" w:color="auto"/>
        </w:pBdr>
        <w:ind w:left="0" w:right="126"/>
        <w:rPr>
          <w:rFonts w:ascii="Times New Roman" w:eastAsia="Times New Roman" w:hAnsi="Times New Roman"/>
          <w:sz w:val="24"/>
          <w:szCs w:val="24"/>
          <w:lang w:eastAsia="it-IT"/>
        </w:rPr>
      </w:pPr>
    </w:p>
    <w:p w:rsidR="005B49F4" w:rsidRPr="005B49F4" w:rsidRDefault="005B49F4" w:rsidP="00273BE4">
      <w:pPr>
        <w:pStyle w:val="Paragrafoelenco"/>
        <w:pBdr>
          <w:top w:val="single" w:sz="4" w:space="1" w:color="auto"/>
          <w:left w:val="single" w:sz="4" w:space="4" w:color="auto"/>
          <w:bottom w:val="single" w:sz="4" w:space="1" w:color="auto"/>
          <w:right w:val="single" w:sz="4" w:space="4" w:color="auto"/>
        </w:pBdr>
        <w:ind w:left="0" w:right="126"/>
        <w:rPr>
          <w:rFonts w:ascii="Times New Roman" w:eastAsia="Times New Roman" w:hAnsi="Times New Roman"/>
          <w:sz w:val="24"/>
          <w:szCs w:val="24"/>
          <w:lang w:eastAsia="it-IT"/>
        </w:rPr>
      </w:pPr>
      <w:r w:rsidRPr="005B49F4">
        <w:rPr>
          <w:rFonts w:ascii="Times New Roman" w:eastAsia="Times New Roman" w:hAnsi="Times New Roman"/>
          <w:sz w:val="24"/>
          <w:szCs w:val="24"/>
          <w:lang w:eastAsia="it-IT"/>
        </w:rPr>
        <w:t>In tal caso il contributo pubblico massimo erogabile sarà pari a 80 e quindi i 20 di contributo in natura non sono di fatto ammissibili.</w:t>
      </w:r>
    </w:p>
    <w:p w:rsidR="005B49F4" w:rsidRPr="005B49F4" w:rsidRDefault="005B49F4" w:rsidP="00273BE4">
      <w:pPr>
        <w:pStyle w:val="Paragrafoelenco"/>
        <w:pBdr>
          <w:top w:val="single" w:sz="4" w:space="1" w:color="auto"/>
          <w:left w:val="single" w:sz="4" w:space="4" w:color="auto"/>
          <w:bottom w:val="single" w:sz="4" w:space="1" w:color="auto"/>
          <w:right w:val="single" w:sz="4" w:space="4" w:color="auto"/>
        </w:pBdr>
        <w:ind w:left="0" w:right="126"/>
        <w:rPr>
          <w:rFonts w:ascii="Times New Roman" w:eastAsia="Times New Roman" w:hAnsi="Times New Roman"/>
          <w:sz w:val="24"/>
          <w:szCs w:val="24"/>
          <w:lang w:eastAsia="it-IT"/>
        </w:rPr>
      </w:pPr>
    </w:p>
    <w:p w:rsidR="005B49F4" w:rsidRPr="005B49F4" w:rsidRDefault="005B49F4" w:rsidP="0093020D">
      <w:pPr>
        <w:pStyle w:val="Paragrafoelenco"/>
        <w:numPr>
          <w:ilvl w:val="0"/>
          <w:numId w:val="21"/>
        </w:numPr>
        <w:pBdr>
          <w:top w:val="single" w:sz="4" w:space="1" w:color="auto"/>
          <w:left w:val="single" w:sz="4" w:space="4" w:color="auto"/>
          <w:bottom w:val="single" w:sz="4" w:space="1" w:color="auto"/>
          <w:right w:val="single" w:sz="4" w:space="4" w:color="auto"/>
        </w:pBdr>
        <w:ind w:left="426" w:right="126" w:hanging="426"/>
        <w:rPr>
          <w:rFonts w:ascii="Times New Roman" w:eastAsia="Times New Roman" w:hAnsi="Times New Roman"/>
          <w:sz w:val="24"/>
          <w:szCs w:val="24"/>
          <w:lang w:eastAsia="it-IT"/>
        </w:rPr>
      </w:pPr>
      <w:r w:rsidRPr="005B49F4">
        <w:rPr>
          <w:rFonts w:ascii="Times New Roman" w:eastAsia="Times New Roman" w:hAnsi="Times New Roman"/>
          <w:sz w:val="24"/>
          <w:szCs w:val="24"/>
          <w:lang w:eastAsia="it-IT"/>
        </w:rPr>
        <w:t xml:space="preserve"> B = 100</w:t>
      </w:r>
      <w:r w:rsidRPr="005B49F4">
        <w:rPr>
          <w:rFonts w:ascii="Times New Roman" w:eastAsia="Times New Roman" w:hAnsi="Times New Roman"/>
          <w:sz w:val="24"/>
          <w:szCs w:val="24"/>
          <w:lang w:eastAsia="it-IT"/>
        </w:rPr>
        <w:tab/>
      </w:r>
      <w:r w:rsidRPr="005B49F4">
        <w:rPr>
          <w:rFonts w:ascii="Times New Roman" w:eastAsia="Times New Roman" w:hAnsi="Times New Roman"/>
          <w:sz w:val="24"/>
          <w:szCs w:val="24"/>
          <w:lang w:eastAsia="it-IT"/>
        </w:rPr>
        <w:tab/>
        <w:t>C = 60</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applicando la formula sopra riportata si avrà: A ≤ 100 - 60   → A ≤ 40.</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In tal caso il contributo pubblico massimo erogabile sarà pari a 40 e quindi i 60 di contributo in natura non sono di fatto ammissibili</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p>
    <w:p w:rsidR="005B49F4" w:rsidRPr="005B49F4" w:rsidRDefault="005B49F4" w:rsidP="0093020D">
      <w:pPr>
        <w:pStyle w:val="Paragrafoelenco"/>
        <w:numPr>
          <w:ilvl w:val="0"/>
          <w:numId w:val="21"/>
        </w:numPr>
        <w:pBdr>
          <w:top w:val="single" w:sz="4" w:space="1" w:color="auto"/>
          <w:left w:val="single" w:sz="4" w:space="4" w:color="auto"/>
          <w:bottom w:val="single" w:sz="4" w:space="1" w:color="auto"/>
          <w:right w:val="single" w:sz="4" w:space="4" w:color="auto"/>
        </w:pBdr>
        <w:ind w:left="426" w:right="126" w:hanging="426"/>
        <w:rPr>
          <w:rFonts w:ascii="Times New Roman" w:eastAsia="Times New Roman" w:hAnsi="Times New Roman"/>
          <w:sz w:val="24"/>
          <w:szCs w:val="24"/>
          <w:lang w:eastAsia="it-IT"/>
        </w:rPr>
      </w:pPr>
      <w:r w:rsidRPr="005B49F4">
        <w:rPr>
          <w:rFonts w:ascii="Times New Roman" w:eastAsia="Times New Roman" w:hAnsi="Times New Roman"/>
          <w:sz w:val="24"/>
          <w:szCs w:val="24"/>
          <w:lang w:eastAsia="it-IT"/>
        </w:rPr>
        <w:t>B = 100</w:t>
      </w:r>
      <w:r w:rsidRPr="005B49F4">
        <w:rPr>
          <w:rFonts w:ascii="Times New Roman" w:eastAsia="Times New Roman" w:hAnsi="Times New Roman"/>
          <w:sz w:val="24"/>
          <w:szCs w:val="24"/>
          <w:lang w:eastAsia="it-IT"/>
        </w:rPr>
        <w:tab/>
      </w:r>
      <w:r w:rsidRPr="005B49F4">
        <w:rPr>
          <w:rFonts w:ascii="Times New Roman" w:eastAsia="Times New Roman" w:hAnsi="Times New Roman"/>
          <w:sz w:val="24"/>
          <w:szCs w:val="24"/>
          <w:lang w:eastAsia="it-IT"/>
        </w:rPr>
        <w:tab/>
        <w:t>C = 100</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applicando la formula sopra riportata si avrà: A ≤ 100 - 100   → A ≤ 0.</w:t>
      </w: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p>
    <w:p w:rsidR="005B49F4" w:rsidRPr="005B49F4" w:rsidRDefault="005B49F4" w:rsidP="00273BE4">
      <w:pPr>
        <w:pBdr>
          <w:top w:val="single" w:sz="4" w:space="1" w:color="auto"/>
          <w:left w:val="single" w:sz="4" w:space="4" w:color="auto"/>
          <w:bottom w:val="single" w:sz="4" w:space="1" w:color="auto"/>
          <w:right w:val="single" w:sz="4" w:space="4" w:color="auto"/>
        </w:pBdr>
        <w:ind w:right="126"/>
      </w:pPr>
      <w:r w:rsidRPr="005B49F4">
        <w:t>In tal caso non è possibile erogare alcun contributo pubblico e tutto il contributo in natura, coincidente con l’intera spesa dell’operazione, è di fatto non ammissibile.</w:t>
      </w:r>
    </w:p>
    <w:p w:rsidR="00030BB8" w:rsidRDefault="00030BB8" w:rsidP="00030BB8">
      <w:pPr>
        <w:spacing w:before="120"/>
        <w:ind w:right="126"/>
        <w:jc w:val="both"/>
        <w:rPr>
          <w:snapToGrid w:val="0"/>
        </w:rPr>
      </w:pPr>
    </w:p>
    <w:p w:rsidR="00030BB8" w:rsidRPr="00030BB8" w:rsidRDefault="00030BB8" w:rsidP="00030BB8">
      <w:pPr>
        <w:spacing w:before="120"/>
        <w:ind w:right="126"/>
        <w:jc w:val="both"/>
        <w:rPr>
          <w:snapToGrid w:val="0"/>
        </w:rPr>
      </w:pPr>
      <w:r w:rsidRPr="00030BB8">
        <w:rPr>
          <w:snapToGrid w:val="0"/>
        </w:rPr>
        <w:t>Già nel corso della programmazione 2007-2013, la DG AGRI ha confermato la rimborsabilità dei contributi in natura per le operazioni investimento. Come precisato dalla stessa Commissione europea,</w:t>
      </w:r>
      <w:r w:rsidR="00531A83">
        <w:rPr>
          <w:snapToGrid w:val="0"/>
        </w:rPr>
        <w:t xml:space="preserve"> </w:t>
      </w:r>
      <w:r w:rsidRPr="00030BB8">
        <w:rPr>
          <w:snapToGrid w:val="0"/>
        </w:rPr>
        <w:t>è possibile trovare una soluzione a tale questione attraverso l’utilizzo dei costi standard applicando alle suddette misure quanto previsto dall’art</w:t>
      </w:r>
      <w:r w:rsidR="00B03B83">
        <w:rPr>
          <w:snapToGrid w:val="0"/>
        </w:rPr>
        <w:t>.</w:t>
      </w:r>
      <w:r w:rsidRPr="00030BB8">
        <w:rPr>
          <w:snapToGrid w:val="0"/>
        </w:rPr>
        <w:t xml:space="preserve"> 67 del Reg. (UE) n. 1303/</w:t>
      </w:r>
      <w:r w:rsidR="00B03B83">
        <w:rPr>
          <w:snapToGrid w:val="0"/>
        </w:rPr>
        <w:t>20</w:t>
      </w:r>
      <w:r w:rsidRPr="00030BB8">
        <w:rPr>
          <w:snapToGrid w:val="0"/>
        </w:rPr>
        <w:t>13 (cfr. paragrafo 2.7).</w:t>
      </w:r>
    </w:p>
    <w:p w:rsidR="00030BB8" w:rsidRPr="00030BB8" w:rsidRDefault="00030BB8" w:rsidP="00030BB8">
      <w:pPr>
        <w:spacing w:before="120"/>
        <w:ind w:right="126"/>
        <w:jc w:val="both"/>
        <w:rPr>
          <w:snapToGrid w:val="0"/>
        </w:rPr>
      </w:pPr>
      <w:r w:rsidRPr="00030BB8">
        <w:rPr>
          <w:snapToGrid w:val="0"/>
        </w:rPr>
        <w:t xml:space="preserve">Ovvero, ipotizzando che, nell’ambito della misura 4.4 “Investimenti non produttivi”, un agricoltore provveda alla realizzazione di un muretto a secco attraverso lavori in economia e non possa quindi presentare documenti giustificativi di spesa per il rimborso, allora: </w:t>
      </w:r>
    </w:p>
    <w:p w:rsidR="00030BB8" w:rsidRPr="00030BB8" w:rsidRDefault="00030BB8" w:rsidP="0093020D">
      <w:pPr>
        <w:numPr>
          <w:ilvl w:val="0"/>
          <w:numId w:val="22"/>
        </w:numPr>
        <w:spacing w:before="120"/>
        <w:ind w:right="126"/>
        <w:jc w:val="both"/>
        <w:rPr>
          <w:snapToGrid w:val="0"/>
        </w:rPr>
      </w:pPr>
      <w:r w:rsidRPr="00030BB8">
        <w:rPr>
          <w:snapToGrid w:val="0"/>
        </w:rPr>
        <w:lastRenderedPageBreak/>
        <w:t>nel caso venisse applicato l’art</w:t>
      </w:r>
      <w:r w:rsidR="00B03B83">
        <w:rPr>
          <w:snapToGrid w:val="0"/>
        </w:rPr>
        <w:t>.</w:t>
      </w:r>
      <w:r w:rsidRPr="00030BB8">
        <w:rPr>
          <w:snapToGrid w:val="0"/>
        </w:rPr>
        <w:t xml:space="preserve"> 69 del Reg. (CE) n. 1303/</w:t>
      </w:r>
      <w:r w:rsidR="00B03B83">
        <w:rPr>
          <w:snapToGrid w:val="0"/>
        </w:rPr>
        <w:t>20</w:t>
      </w:r>
      <w:r w:rsidRPr="00030BB8">
        <w:rPr>
          <w:snapToGrid w:val="0"/>
        </w:rPr>
        <w:t>13 l’agricoltore non riceverebbe alcun contributo pubblico (cfr. esempio box sopra);</w:t>
      </w:r>
    </w:p>
    <w:p w:rsidR="000B06CE" w:rsidRPr="00F14139" w:rsidRDefault="00030BB8" w:rsidP="00273BE4">
      <w:pPr>
        <w:numPr>
          <w:ilvl w:val="0"/>
          <w:numId w:val="22"/>
        </w:numPr>
        <w:spacing w:before="120"/>
        <w:ind w:right="126"/>
        <w:jc w:val="both"/>
        <w:rPr>
          <w:snapToGrid w:val="0"/>
        </w:rPr>
      </w:pPr>
      <w:r w:rsidRPr="00030BB8">
        <w:rPr>
          <w:snapToGrid w:val="0"/>
        </w:rPr>
        <w:t>nel caso in cui venisse applicato l’art</w:t>
      </w:r>
      <w:r w:rsidR="00B03B83">
        <w:rPr>
          <w:snapToGrid w:val="0"/>
        </w:rPr>
        <w:t>.</w:t>
      </w:r>
      <w:r w:rsidRPr="00030BB8">
        <w:rPr>
          <w:snapToGrid w:val="0"/>
        </w:rPr>
        <w:t xml:space="preserve"> 67 del Reg. (UE) n. 1303/2013, l’agricoltore riceverebbe invece un contributo pubblico calcolato in base all’utilizzo di ipotesi di costi standard e di ipotesi standard di mancato guadagno (es. attraverso l’utilizzo di tariffari regionali potrebbe ricevere un contributo pubblico pari a X euro per metro lineare di muretto a secco realizzato).</w:t>
      </w:r>
    </w:p>
    <w:p w:rsidR="00030BB8" w:rsidRPr="00030BB8" w:rsidRDefault="00030BB8" w:rsidP="00030BB8">
      <w:pPr>
        <w:jc w:val="both"/>
      </w:pPr>
    </w:p>
    <w:p w:rsidR="003E748C" w:rsidRDefault="003E748C" w:rsidP="003E748C">
      <w:pPr>
        <w:keepNext/>
        <w:spacing w:before="240" w:after="60"/>
      </w:pPr>
      <w:r>
        <w:rPr>
          <w:b/>
          <w:szCs w:val="28"/>
        </w:rPr>
        <w:t>3.8 Le opzioni semplificate in materia di costi</w:t>
      </w:r>
    </w:p>
    <w:p w:rsidR="003E748C" w:rsidRDefault="003E748C" w:rsidP="003E748C">
      <w:pPr>
        <w:jc w:val="both"/>
      </w:pPr>
    </w:p>
    <w:p w:rsidR="003E748C" w:rsidRDefault="003E748C" w:rsidP="003E748C">
      <w:pPr>
        <w:jc w:val="both"/>
      </w:pPr>
      <w:r>
        <w:t>Come spiegato al capitolo 1 del presente documento, la regolamentazione comunitaria prevede diverse forme di sovvenzioni. Queste possono essere distinte in due categorie principali, l’una rappresentata dai costi reali (rimborso dei costi ammissibili effettivamente sostenuti) e l’altra dalle diverse opzioni di costi semplificati.</w:t>
      </w:r>
    </w:p>
    <w:p w:rsidR="003E748C" w:rsidRDefault="003E748C" w:rsidP="003E748C">
      <w:pPr>
        <w:jc w:val="both"/>
      </w:pPr>
    </w:p>
    <w:p w:rsidR="003E748C" w:rsidRDefault="003E748C" w:rsidP="003E748C">
      <w:pPr>
        <w:jc w:val="both"/>
      </w:pPr>
      <w:r>
        <w:t>L’esperienza dei precedenti periodi di programmazione ha dimostrato che l’utilizzo dei costi semplificati può contribuire a ridurre il livello d’errore e gli oneri amministrativi, sia per i beneficiari che per le Amministrazioni. Per il periodo di programmazione 2014-2020, pertanto, le opzioni di costi semplificati sono state estese, prevedendo apposite disposizioni nel Reg. (UE) n. 1303/2013 recante disposizioni comuni sui Fondi SIE. Al fine di facilitare ulteriormente l’implementazione dei costi semplificati, la Commissione europea ha inoltre predisposto la Guida alle opzioni semplificate in materia di costi (OSC), di seguito Guida, che si ritiene opportuno richiamare nel presente documento</w:t>
      </w:r>
      <w:r w:rsidR="00F36AA2">
        <w:rPr>
          <w:rStyle w:val="Rimandonotaapidipagina"/>
        </w:rPr>
        <w:footnoteReference w:id="5"/>
      </w:r>
      <w:r>
        <w:t xml:space="preserve">. </w:t>
      </w:r>
    </w:p>
    <w:p w:rsidR="003E748C" w:rsidRDefault="003E748C" w:rsidP="003E748C">
      <w:pPr>
        <w:jc w:val="both"/>
      </w:pPr>
    </w:p>
    <w:p w:rsidR="003E748C" w:rsidRDefault="003E748C" w:rsidP="003E748C">
      <w:pPr>
        <w:jc w:val="both"/>
      </w:pPr>
      <w:r>
        <w:t>Per quello che riguarda il fondo FEASR, la base normativa che rende possibile l’utilizzo dei costi semplificati nei PSR è rappresentata dall’art. 60 del Reg. (UE) n. 1305/2013, che rimanda alle pertinenti disposizioni del regolamento comune prima citato, e dalle norme specifiche per alcune misure, come ad esempio quelle a superficie.</w:t>
      </w:r>
    </w:p>
    <w:p w:rsidR="003E748C" w:rsidRDefault="003E748C" w:rsidP="003E748C">
      <w:pPr>
        <w:jc w:val="both"/>
      </w:pPr>
    </w:p>
    <w:p w:rsidR="003E748C" w:rsidRPr="00066C88" w:rsidRDefault="003E748C" w:rsidP="003E748C">
      <w:pPr>
        <w:pStyle w:val="Titolo3"/>
        <w:numPr>
          <w:ilvl w:val="2"/>
          <w:numId w:val="0"/>
        </w:numPr>
        <w:tabs>
          <w:tab w:val="num" w:pos="720"/>
        </w:tabs>
        <w:suppressAutoHyphens/>
        <w:ind w:left="720" w:hanging="720"/>
      </w:pPr>
      <w:bookmarkStart w:id="18" w:name="__RefHeading___Toc426033390"/>
      <w:bookmarkStart w:id="19" w:name="_Toc432090711"/>
      <w:bookmarkEnd w:id="18"/>
      <w:r w:rsidRPr="00066C88">
        <w:rPr>
          <w:rFonts w:ascii="Times New Roman" w:hAnsi="Times New Roman"/>
          <w:bCs w:val="0"/>
          <w:iCs/>
          <w:sz w:val="24"/>
          <w:szCs w:val="24"/>
        </w:rPr>
        <w:t>3.8.1 I costi semplificati previsti dal Reg. (UE) n. 1303/2013</w:t>
      </w:r>
      <w:bookmarkEnd w:id="19"/>
    </w:p>
    <w:p w:rsidR="003E748C" w:rsidRPr="00066C88" w:rsidRDefault="003E748C" w:rsidP="003E748C">
      <w:pPr>
        <w:jc w:val="both"/>
      </w:pPr>
      <w:r w:rsidRPr="00066C88">
        <w:t>L’articolo 67.1 lettere b), c) e d) del Reg. (UE) n. 1303/2013 introduce la possibilità di utilizzare le seguenti opzioni di costi semplificati:</w:t>
      </w:r>
    </w:p>
    <w:p w:rsidR="003E748C" w:rsidRPr="00066C88" w:rsidRDefault="003E748C" w:rsidP="003E748C">
      <w:pPr>
        <w:jc w:val="both"/>
      </w:pPr>
    </w:p>
    <w:p w:rsidR="003E748C" w:rsidRPr="00066C88" w:rsidRDefault="003E748C" w:rsidP="00BE7ABC">
      <w:pPr>
        <w:numPr>
          <w:ilvl w:val="0"/>
          <w:numId w:val="44"/>
        </w:numPr>
        <w:suppressAutoHyphens/>
        <w:jc w:val="both"/>
        <w:rPr>
          <w:rFonts w:eastAsia="Calibri"/>
        </w:rPr>
      </w:pPr>
      <w:r w:rsidRPr="00066C88">
        <w:rPr>
          <w:rFonts w:eastAsia="Calibri"/>
        </w:rPr>
        <w:t>Tabelle standard di costi unitari</w:t>
      </w:r>
    </w:p>
    <w:p w:rsidR="003E748C" w:rsidRPr="00066C88" w:rsidRDefault="003E748C" w:rsidP="00BE7ABC">
      <w:pPr>
        <w:numPr>
          <w:ilvl w:val="0"/>
          <w:numId w:val="44"/>
        </w:numPr>
        <w:suppressAutoHyphens/>
        <w:jc w:val="both"/>
        <w:rPr>
          <w:rFonts w:eastAsia="Calibri"/>
        </w:rPr>
      </w:pPr>
      <w:r w:rsidRPr="00066C88">
        <w:rPr>
          <w:rFonts w:eastAsia="Calibri"/>
        </w:rPr>
        <w:t>Somme forfettarie</w:t>
      </w:r>
    </w:p>
    <w:p w:rsidR="003E748C" w:rsidRPr="00066C88" w:rsidRDefault="003E748C" w:rsidP="00BE7ABC">
      <w:pPr>
        <w:numPr>
          <w:ilvl w:val="0"/>
          <w:numId w:val="44"/>
        </w:numPr>
        <w:suppressAutoHyphens/>
        <w:jc w:val="both"/>
      </w:pPr>
      <w:r w:rsidRPr="00066C88">
        <w:rPr>
          <w:rFonts w:eastAsia="Calibri"/>
        </w:rPr>
        <w:t>Finanziamenti a tasso forfettario</w:t>
      </w:r>
    </w:p>
    <w:p w:rsidR="003E748C" w:rsidRPr="00066C88" w:rsidRDefault="003E748C" w:rsidP="003E748C">
      <w:pPr>
        <w:jc w:val="both"/>
      </w:pPr>
    </w:p>
    <w:p w:rsidR="003E748C" w:rsidRPr="00066C88" w:rsidRDefault="003E748C" w:rsidP="003E748C">
      <w:pPr>
        <w:jc w:val="both"/>
      </w:pPr>
      <w:r w:rsidRPr="00066C88">
        <w:t>Dal punto di vista operativo, la</w:t>
      </w:r>
      <w:r w:rsidRPr="00066C88">
        <w:rPr>
          <w:b/>
          <w:bCs/>
        </w:rPr>
        <w:t xml:space="preserve"> tabella standard di costi unitari </w:t>
      </w:r>
      <w:r w:rsidRPr="00066C88">
        <w:rPr>
          <w:bCs/>
        </w:rPr>
        <w:t>prevede che le spese ammissibili (</w:t>
      </w:r>
      <w:r w:rsidRPr="00066C88">
        <w:t>tutte o in parte) siano calcolate sulla base di attività quantificabili, delle realizzazioni e dei risultati moltiplicati per un costo unitario definito in anticipo (per esempio, costo per ettaro di impianto). Essa è particolarmente adatta a spese riferite ad ore di lavoro o altre analoghe quantità fisiche facilmente misurabili.</w:t>
      </w:r>
    </w:p>
    <w:p w:rsidR="003E748C" w:rsidRPr="00066C88" w:rsidRDefault="003E748C" w:rsidP="003E748C">
      <w:pPr>
        <w:jc w:val="both"/>
      </w:pPr>
    </w:p>
    <w:p w:rsidR="003E748C" w:rsidRPr="00D16FE4" w:rsidRDefault="003E748C" w:rsidP="003E748C">
      <w:pPr>
        <w:jc w:val="both"/>
      </w:pPr>
      <w:r w:rsidRPr="00066C88">
        <w:t xml:space="preserve">Nel caso della </w:t>
      </w:r>
      <w:r w:rsidRPr="00066C88">
        <w:rPr>
          <w:b/>
          <w:bCs/>
        </w:rPr>
        <w:t xml:space="preserve">somma forfettaria, </w:t>
      </w:r>
      <w:r w:rsidRPr="00066C88">
        <w:t xml:space="preserve">la totalità o parte delle spese ammissibili viene rimborsato sulla base di una somma prestabilita (non superiore a 100.000 Euro di contributo pubblico). Le somme forfettarie possono comprendere importi di spesa riferibili a diverse variabili di spesa riunite in una </w:t>
      </w:r>
      <w:r w:rsidRPr="00066C88">
        <w:lastRenderedPageBreak/>
        <w:t>unica somma cui corrisponde un importo predefinito. In conformità con i termini pre-definiti le somme forfettarie sono un sistema binario: se le attività sono consegnate nella loro interezza, l'importo prestabilito è pagato, altrimenti non vi è alcun pagamento. Tipico esempio di somma forfettaria è la diaria giornaliere che prevede costi di vitto e costi di alloggio, che vengono liquidati in unico importo de la prestazione è usufruita nel suo complesso, ma possono essere utilizzate anche nel caso di un costo orario complesso che ingloba prestazioni, trasferte, costi preparatori, ecc.</w:t>
      </w:r>
      <w:r>
        <w:t xml:space="preserve"> </w:t>
      </w:r>
    </w:p>
    <w:p w:rsidR="003E748C" w:rsidRDefault="003E748C" w:rsidP="003E748C">
      <w:pPr>
        <w:jc w:val="both"/>
        <w:rPr>
          <w:shd w:val="clear" w:color="auto" w:fill="FFCC00"/>
        </w:rPr>
      </w:pPr>
    </w:p>
    <w:p w:rsidR="003E748C" w:rsidRDefault="003E748C" w:rsidP="003E748C">
      <w:pPr>
        <w:jc w:val="both"/>
        <w:rPr>
          <w:bCs/>
        </w:rPr>
      </w:pPr>
      <w:r>
        <w:t xml:space="preserve">L’alternativa del </w:t>
      </w:r>
      <w:r>
        <w:rPr>
          <w:b/>
          <w:bCs/>
        </w:rPr>
        <w:t>finanziamento forfettario</w:t>
      </w:r>
      <w:r>
        <w:t xml:space="preserve"> prevede,</w:t>
      </w:r>
      <w:r>
        <w:rPr>
          <w:b/>
          <w:bCs/>
        </w:rPr>
        <w:t xml:space="preserve"> </w:t>
      </w:r>
      <w:r>
        <w:t>invece, che la specifica categoria di costi ammissibili deve essere calcolata in anticipo, applicando una percentuale a una o più categorie di costi ammissibili. Questo metodo può essere usato per calcolare i costi indiretti o altri tipi di costi, come ad esempio le spese di progettazione. La forma più utilizzat</w:t>
      </w:r>
      <w:r w:rsidR="00DF315A">
        <w:t>a di finanziamenti a tasso forfettario</w:t>
      </w:r>
      <w:r>
        <w:t xml:space="preserve"> sarà </w:t>
      </w:r>
      <w:r w:rsidR="00F53B4D">
        <w:t xml:space="preserve">quella utilizzata </w:t>
      </w:r>
      <w:r>
        <w:t xml:space="preserve">per il calcolo dei costi indiretti, </w:t>
      </w:r>
      <w:r w:rsidR="00F53B4D">
        <w:t>secondo le modalità di cui all’articolo 68.1 del Reg. (UE) n. 1303/2013.</w:t>
      </w:r>
    </w:p>
    <w:p w:rsidR="003E748C" w:rsidRDefault="003E748C" w:rsidP="003E748C">
      <w:pPr>
        <w:jc w:val="both"/>
        <w:rPr>
          <w:bCs/>
        </w:rPr>
      </w:pPr>
    </w:p>
    <w:p w:rsidR="003E748C" w:rsidRDefault="003E748C" w:rsidP="003E748C">
      <w:pPr>
        <w:jc w:val="both"/>
      </w:pPr>
      <w:r>
        <w:rPr>
          <w:bCs/>
        </w:rPr>
        <w:t>Le tre differenti opzioni possono essere usate in modo distinto, o anche combinate, se del caso nell’ambito della medesima operazione. In quest’ultimo caso, sarà tuttavia necessario mantenere una distinzione per categoria di costo, progetto o fase (vedi articolo 67.2 del Reg. (UE) n. 1303/2013).</w:t>
      </w:r>
    </w:p>
    <w:p w:rsidR="003E748C" w:rsidRDefault="003E748C" w:rsidP="003E748C">
      <w:pPr>
        <w:jc w:val="both"/>
      </w:pPr>
    </w:p>
    <w:p w:rsidR="003E748C" w:rsidRDefault="003E748C" w:rsidP="003E748C">
      <w:pPr>
        <w:jc w:val="both"/>
      </w:pPr>
      <w:r>
        <w:t>L'uso dei costi semplificati è un'opzione per lo Stato membro interessato: a livello di beneficiario, l'autorità di gestione può decidere di rendere tale uso facoltativo o obbligatorio per tutti o parte dei beneficiari o per tutte o parte delle operazioni. Nei casi in cui il sistema non è obbligatorio per tutti, tuttavia, il campo di applicazione delle opzioni di costo semplificato da applicare, vale a dire la categoria di progetti e attività dei beneficiari per le quali è possibile utilizzare i costi semplificati, dovranno essere chiaramente definiti e pubblicati conformemente generale principi di trasparenza e di parità di trattamento.</w:t>
      </w:r>
    </w:p>
    <w:p w:rsidR="003E748C" w:rsidRDefault="003E748C" w:rsidP="003E748C">
      <w:pPr>
        <w:jc w:val="both"/>
      </w:pPr>
    </w:p>
    <w:p w:rsidR="003E748C" w:rsidRDefault="003E748C" w:rsidP="003E748C">
      <w:pPr>
        <w:jc w:val="both"/>
      </w:pPr>
      <w:r>
        <w:t>Qualora un'operazione o un progetto facente parte di un operazione è attuata esclusivamente mediante appalti pubblici, i costi semplificati non possono essere utilizzati. Nel caso in cui la medesima operazione è attuata tramite progetti distinti, tuttavia, è possibile applicare le opzioni di costo semplificate per quei progetti che non prevedono procedure di appalto pubblico. Inoltre, la normativa prevede che sia possibile utilizzare i costi semplificati nell’ambito del medesimo progetto, anche per alcune categorie di costo riferibili ad appalti (vedi articolo 67</w:t>
      </w:r>
      <w:r>
        <w:rPr>
          <w:bCs/>
        </w:rPr>
        <w:t>.4 del Reg. (UE) n. 1303/2013 e punto 1.6 della Guida). Per i dettagli relativi alle possibilità di utilizzo dei costi semplificati nel PSR, per ciascuna misura e per le principali tipologie di spese, si rimanda al contenuto dell’</w:t>
      </w:r>
      <w:r>
        <w:rPr>
          <w:bCs/>
          <w:u w:val="single"/>
        </w:rPr>
        <w:t>allegato 2</w:t>
      </w:r>
      <w:r>
        <w:rPr>
          <w:bCs/>
        </w:rPr>
        <w:t xml:space="preserve">. </w:t>
      </w:r>
    </w:p>
    <w:p w:rsidR="003E748C" w:rsidRDefault="003E748C" w:rsidP="003E748C">
      <w:pPr>
        <w:jc w:val="both"/>
      </w:pPr>
    </w:p>
    <w:p w:rsidR="003E748C" w:rsidRDefault="003E748C" w:rsidP="003E748C">
      <w:pPr>
        <w:pStyle w:val="Titolo3"/>
        <w:numPr>
          <w:ilvl w:val="2"/>
          <w:numId w:val="0"/>
        </w:numPr>
        <w:tabs>
          <w:tab w:val="num" w:pos="720"/>
        </w:tabs>
        <w:suppressAutoHyphens/>
        <w:ind w:left="720" w:hanging="720"/>
      </w:pPr>
      <w:bookmarkStart w:id="20" w:name="__RefHeading___Toc426033391"/>
      <w:bookmarkStart w:id="21" w:name="_Toc432090712"/>
      <w:bookmarkEnd w:id="20"/>
      <w:r>
        <w:rPr>
          <w:rFonts w:ascii="Times New Roman" w:hAnsi="Times New Roman"/>
          <w:bCs w:val="0"/>
          <w:iCs/>
          <w:sz w:val="24"/>
          <w:szCs w:val="24"/>
        </w:rPr>
        <w:t>3.8.2 I costi semplificati previsti dal Reg. (UE) n. 1305/2013</w:t>
      </w:r>
      <w:bookmarkEnd w:id="21"/>
    </w:p>
    <w:p w:rsidR="003E748C" w:rsidRDefault="003E748C" w:rsidP="003E748C">
      <w:r>
        <w:t>Oltre alle norme generali per i costi semplificati previste dal Reg. (UE) n. 1303/2013, per il fondo FEASR sono previste norme specifiche, che identificano proprie forme di sovvenzione e assistenza semplificate, spesso derivanti da quanto già previsto nel precedente periodo di programmazione.</w:t>
      </w:r>
    </w:p>
    <w:p w:rsidR="003E748C" w:rsidRDefault="003E748C" w:rsidP="003E748C"/>
    <w:p w:rsidR="003E748C" w:rsidRDefault="003E748C" w:rsidP="003E748C">
      <w:r>
        <w:t>Queste sono rappresentate, fondamentalmente, dalle ipotesi standard di costi aggiuntivi e mancato guadagno, che devono essere utilizzate per gli interventi a superficie e a capo, e in particolare per le misure 10 (sottomisura 10.1), 11, 12, 13, 14 e 15 (sottomisura 15.1). A queste, si aggiungono le misure per le quali la regolamentazione identifica già le somme o i tassi forfettari da erogare, ovvero la misura 6, la misura 9 e la misura 17 (vedi paragrafo successivo).</w:t>
      </w:r>
    </w:p>
    <w:p w:rsidR="003E748C" w:rsidRDefault="003E748C" w:rsidP="003E748C"/>
    <w:p w:rsidR="00F46E31" w:rsidRDefault="00F46E31" w:rsidP="003E748C">
      <w:r>
        <w:lastRenderedPageBreak/>
        <w:t>Per quello che riguarda la misura 2, si ricorda inoltre quanto richiamato al prese cedente paragrafo 3.8.1, relativamente all’applicabilità dei costi semplificati per operazioni attuate esclusivamente o parzialmente tramite appalti pubblici.</w:t>
      </w:r>
    </w:p>
    <w:p w:rsidR="00F46E31" w:rsidRDefault="00F46E31" w:rsidP="003E748C">
      <w:pPr>
        <w:rPr>
          <w:iCs/>
        </w:rPr>
      </w:pPr>
    </w:p>
    <w:p w:rsidR="003E748C" w:rsidRDefault="003E748C" w:rsidP="003E748C">
      <w:pPr>
        <w:pStyle w:val="Titolo3"/>
        <w:numPr>
          <w:ilvl w:val="2"/>
          <w:numId w:val="0"/>
        </w:numPr>
        <w:tabs>
          <w:tab w:val="num" w:pos="720"/>
        </w:tabs>
        <w:suppressAutoHyphens/>
        <w:ind w:left="720" w:hanging="720"/>
      </w:pPr>
      <w:bookmarkStart w:id="22" w:name="__RefHeading___Toc426033392"/>
      <w:bookmarkStart w:id="23" w:name="_Toc432090713"/>
      <w:bookmarkEnd w:id="22"/>
      <w:r>
        <w:rPr>
          <w:rFonts w:ascii="Times New Roman" w:hAnsi="Times New Roman"/>
          <w:bCs w:val="0"/>
          <w:iCs/>
          <w:sz w:val="24"/>
          <w:szCs w:val="24"/>
        </w:rPr>
        <w:t>3.8.3 Definizione degli importi e metodo di calcolo</w:t>
      </w:r>
      <w:bookmarkEnd w:id="23"/>
    </w:p>
    <w:p w:rsidR="003E748C" w:rsidRDefault="003E748C" w:rsidP="003E748C">
      <w:pPr>
        <w:jc w:val="both"/>
      </w:pPr>
      <w:r>
        <w:t>In conformità con quanto previsto dall’art. 67.5 del Reg. (UE) n. 1303/2013, gli importi erogati tramite le differenti opzioni dei costi semplificati devono essere stabiliti in uno dei seguenti modi:</w:t>
      </w:r>
    </w:p>
    <w:p w:rsidR="003E748C" w:rsidRDefault="003E748C" w:rsidP="003E748C">
      <w:pPr>
        <w:jc w:val="both"/>
      </w:pPr>
    </w:p>
    <w:p w:rsidR="003E748C" w:rsidRDefault="003E748C" w:rsidP="003E748C">
      <w:pPr>
        <w:jc w:val="both"/>
      </w:pPr>
      <w:r>
        <w:t>a) tramite un metodo di calcolo giusto, equo e verificabile;</w:t>
      </w:r>
    </w:p>
    <w:p w:rsidR="003E748C" w:rsidRDefault="003E748C" w:rsidP="003E748C">
      <w:pPr>
        <w:jc w:val="both"/>
      </w:pPr>
      <w:r>
        <w:t>b) utilizzando i valori individuati per altre politiche UE, per analoghe operazioni e beneficiari;</w:t>
      </w:r>
    </w:p>
    <w:p w:rsidR="003E748C" w:rsidRDefault="003E748C" w:rsidP="003E748C">
      <w:pPr>
        <w:jc w:val="both"/>
      </w:pPr>
      <w:r>
        <w:t>c) utilizzando i valori individuati per altre politiche nazionali, per analoghe operazioni e beneficiari;</w:t>
      </w:r>
    </w:p>
    <w:p w:rsidR="003E748C" w:rsidRDefault="003E748C" w:rsidP="003E748C">
      <w:pPr>
        <w:jc w:val="both"/>
      </w:pPr>
      <w:r>
        <w:t>d) impiegando i tassi previsti dal Reg. (UE) n. 1303/2013 o dal Reg. (UE) n.1305/2013;</w:t>
      </w:r>
    </w:p>
    <w:p w:rsidR="003E748C" w:rsidRDefault="003E748C" w:rsidP="003E748C">
      <w:pPr>
        <w:jc w:val="both"/>
      </w:pPr>
      <w:r>
        <w:t>e) utilizzando le norme specifiche per il fondo FEASR.</w:t>
      </w:r>
    </w:p>
    <w:p w:rsidR="003E748C" w:rsidRDefault="003E748C" w:rsidP="003E748C">
      <w:pPr>
        <w:jc w:val="both"/>
      </w:pPr>
    </w:p>
    <w:p w:rsidR="003E748C" w:rsidRDefault="003E748C" w:rsidP="003E748C">
      <w:pPr>
        <w:jc w:val="both"/>
      </w:pPr>
      <w:r>
        <w:t xml:space="preserve">Il metodo di calcolo di cui al </w:t>
      </w:r>
      <w:r>
        <w:rPr>
          <w:u w:val="single"/>
        </w:rPr>
        <w:t>punto a)</w:t>
      </w:r>
      <w:r>
        <w:t xml:space="preserve"> deve essere affidabile e verificabile, e basarsi su dati statistici o altre informazioni oggettive, su dati storici verificati dei singoli beneficiari o su dati derivanti da normali prassi di contabilità dei costi dei singoli beneficiari.</w:t>
      </w:r>
    </w:p>
    <w:p w:rsidR="003E748C" w:rsidRDefault="003E748C" w:rsidP="003E748C">
      <w:pPr>
        <w:jc w:val="both"/>
      </w:pPr>
    </w:p>
    <w:p w:rsidR="003E748C" w:rsidRPr="00066C88" w:rsidRDefault="003E748C" w:rsidP="003E748C">
      <w:pPr>
        <w:jc w:val="both"/>
      </w:pPr>
      <w:r>
        <w:t xml:space="preserve">Considerate le caratteristiche dei beneficiari dello sviluppo rurale (elevata numerosità, limitata dimensione economica, frequente assenza di dati di contabilità, ecc.), il metodo previsto dai PSR è riconducibile principalmente all’analisi e elaborazione di dati statistici o altre informazioni oggettive. I metodi basati sui valori derivanti da dati storici o contabili dei singoli beneficiari, </w:t>
      </w:r>
      <w:r w:rsidRPr="00066C88">
        <w:t>sono più complessi da utilizzare ma possono trovare un ragionevole ambito di applicazione in riferimento ai progetti medio grandi.</w:t>
      </w:r>
    </w:p>
    <w:p w:rsidR="003E748C" w:rsidRPr="00813AC8" w:rsidRDefault="003E748C" w:rsidP="003E748C">
      <w:pPr>
        <w:jc w:val="both"/>
        <w:rPr>
          <w:highlight w:val="yellow"/>
          <w:shd w:val="clear" w:color="auto" w:fill="FFCC00"/>
        </w:rPr>
      </w:pPr>
    </w:p>
    <w:p w:rsidR="003E748C" w:rsidRDefault="003E748C" w:rsidP="003E748C">
      <w:pPr>
        <w:jc w:val="both"/>
      </w:pPr>
      <w:r>
        <w:t>Il metodo di calcolo per una misura/intervento del PSR potrà quindi basarsi su l’analisi statistica dei dati storici (p.e. analisi e elaborazione dei dati risultanti dalla spesa certificata sulla corrispondente misura/categoria di spesa del PSR 2007-2013). Sono comunque altrettanto validi anche altre di analisi, come ad esempio le indagini di mercato, gli inviti a presentare proposte, i giudizi esperti, ecc. E’ inoltre possibile utilizzare una combinazione dei seguenti sistemi, per esempio alimentata in parte da dati storici e in parte da dati ottenuti tramite indagini di mercato, opportunamente ponderati. Per le altre informazioni più di dettaglio e soprattutto per cosa debba intendersi per calcolo “giusto, equo e verificabile”, si rimanda al punto 5.2 della Guida.</w:t>
      </w:r>
    </w:p>
    <w:p w:rsidR="003E748C" w:rsidRDefault="003E748C" w:rsidP="003E748C">
      <w:pPr>
        <w:jc w:val="both"/>
      </w:pPr>
    </w:p>
    <w:p w:rsidR="003E748C" w:rsidRPr="002F3E77" w:rsidRDefault="003E748C" w:rsidP="003E748C">
      <w:pPr>
        <w:jc w:val="both"/>
      </w:pPr>
      <w:r w:rsidRPr="002F3E77">
        <w:t xml:space="preserve">Oltre all’elaborazione di uno specifico metodo di calcolo, per la definizione dei costi semplificati è possibile utilizzare i metodi e gli importi individuati per altri interventi della UE o nazionali, come indicato ai </w:t>
      </w:r>
      <w:r w:rsidRPr="002F3E77">
        <w:rPr>
          <w:u w:val="single"/>
        </w:rPr>
        <w:t>punti b) e c)</w:t>
      </w:r>
      <w:r w:rsidRPr="002F3E77">
        <w:t xml:space="preserve"> sopra elencati. E’ questa una possibilità particolarmente interessante, in quanto comporta una semplificazione e riduzione del carico amministrativo per le Autorità di Gestione, oltre che l’armonizzazione delle regole tra le diverse politiche. Essa tuttavia può essere adottata alle seguenti condizioni:</w:t>
      </w:r>
    </w:p>
    <w:p w:rsidR="003E748C" w:rsidRPr="002F3E77" w:rsidRDefault="003E748C" w:rsidP="00BE7ABC">
      <w:pPr>
        <w:numPr>
          <w:ilvl w:val="0"/>
          <w:numId w:val="45"/>
        </w:numPr>
        <w:suppressAutoHyphens/>
        <w:jc w:val="both"/>
      </w:pPr>
      <w:r w:rsidRPr="002F3E77">
        <w:t>il metodo riutilizzato deve essere riferito a politiche/interventi finanziati esclusivamente dalla UE (p.e. Horizon 2020, LIFE, Twinning) o da fondi nazionali. Non sono quindi ammessi programmi cofinanziati;</w:t>
      </w:r>
    </w:p>
    <w:p w:rsidR="003E748C" w:rsidRPr="002F3E77" w:rsidRDefault="003E748C" w:rsidP="00BE7ABC">
      <w:pPr>
        <w:numPr>
          <w:ilvl w:val="0"/>
          <w:numId w:val="45"/>
        </w:numPr>
        <w:suppressAutoHyphens/>
        <w:jc w:val="both"/>
      </w:pPr>
      <w:r w:rsidRPr="002F3E77">
        <w:t xml:space="preserve">occorre accertarsi che il metodo è applicato a operazioni e beneficiari analoghi a quelli per cui sono stati elaborati, verificando in particolare se tale analogia sia presente per tutti gli elementi che sono stati presi in considerazione per il calcolo (le differenze afferenti a elementi che non incidono o che non sono stati presi in considerazione nel calcolo non sono infatti rilevanti); </w:t>
      </w:r>
    </w:p>
    <w:p w:rsidR="003E748C" w:rsidRPr="002F3E77" w:rsidRDefault="003E748C" w:rsidP="00BE7ABC">
      <w:pPr>
        <w:numPr>
          <w:ilvl w:val="0"/>
          <w:numId w:val="45"/>
        </w:numPr>
        <w:suppressAutoHyphens/>
        <w:jc w:val="both"/>
      </w:pPr>
      <w:r w:rsidRPr="002F3E77">
        <w:lastRenderedPageBreak/>
        <w:t>si deve utilizzare metodo nella sua totalità, e non soltanto il risultato. Questo significa che il campo di applicazione, le categorie di spese ammissibili e gli altri elementi riferiti ai costi semplificati dovranno essere gli stessi identificati dal metodo che si intende adottare.</w:t>
      </w:r>
    </w:p>
    <w:p w:rsidR="003E748C" w:rsidRDefault="003E748C" w:rsidP="003E748C">
      <w:pPr>
        <w:jc w:val="both"/>
      </w:pPr>
    </w:p>
    <w:p w:rsidR="003E748C" w:rsidRDefault="003E748C" w:rsidP="003E748C">
      <w:pPr>
        <w:jc w:val="both"/>
      </w:pPr>
      <w:r>
        <w:t xml:space="preserve">Sono poi previsti gli importi e tassi e metodi derivanti dai regolamenti, di cui </w:t>
      </w:r>
      <w:r w:rsidRPr="002F3E77">
        <w:t>al punto d)</w:t>
      </w:r>
      <w:r>
        <w:t>. Per quello che riguarda gli importi forfettari, questi sono previsti dall’articolo 19 del Reg. (UE) n. 1305/2013 per la misura 6 – sviluppo delle aziende agricole e delle imprese, per le sottomisure 6.1, 6.2 e 6.3. Per questa fattispecie non è necessario elaborare nessun tipo di calcolo per determinare l’importo erogabile</w:t>
      </w:r>
    </w:p>
    <w:p w:rsidR="003E748C" w:rsidRDefault="003E748C" w:rsidP="003E748C">
      <w:pPr>
        <w:jc w:val="both"/>
      </w:pPr>
    </w:p>
    <w:p w:rsidR="003E748C" w:rsidRDefault="003E748C" w:rsidP="003E748C">
      <w:pPr>
        <w:jc w:val="both"/>
        <w:rPr>
          <w:bCs/>
          <w:iCs/>
          <w:szCs w:val="28"/>
        </w:rPr>
      </w:pPr>
      <w:r>
        <w:t>Sono inoltre identificati dai regolamenti due tipi di tassi forfettari, ovvero un tasso forfettario fino al 10% della produzione commercializzata, di durata quinquennale e decrescente, per la misura 9 a favore della costituzione di associazioni e organizzazioni di produttori (art. 27 del Reg. (UE) n. 1305/2013) e tassi forfettari per i costi indiretti e i costi del personale, ai sensi dell’art. 68 del Reg. (UE) n. 1303/2013.</w:t>
      </w:r>
    </w:p>
    <w:p w:rsidR="003E748C" w:rsidRDefault="003E748C" w:rsidP="003E748C">
      <w:pPr>
        <w:jc w:val="both"/>
        <w:rPr>
          <w:bCs/>
          <w:iCs/>
          <w:szCs w:val="28"/>
        </w:rPr>
      </w:pPr>
    </w:p>
    <w:p w:rsidR="003E748C" w:rsidRDefault="003E748C" w:rsidP="003E748C">
      <w:pPr>
        <w:jc w:val="both"/>
      </w:pPr>
      <w:r>
        <w:rPr>
          <w:bCs/>
          <w:iCs/>
          <w:szCs w:val="28"/>
        </w:rPr>
        <w:t xml:space="preserve">Quest’ultima opzione riveste un particolare interesse per alcune tipologie di interventi o misure, come ad esempio l’assistenza tecnica. Appare quindi utile richiamare nel dettaglio quanto previsto dall’articolo 68, punto 1 del </w:t>
      </w:r>
      <w:r>
        <w:t>Reg. (UE) n. 1303/2013 e, nel caso particolare di costi diretti per operazioni finalizzate all’innovazione, dall’articolo 20 del Reg. Delegato (UE) n. 480/2014, che prevede le seguenti metodologie di calcolo dei tassi forfettari per i costi indiretti:</w:t>
      </w:r>
    </w:p>
    <w:p w:rsidR="003E748C" w:rsidRDefault="003E748C" w:rsidP="00BE7ABC">
      <w:pPr>
        <w:numPr>
          <w:ilvl w:val="0"/>
          <w:numId w:val="45"/>
        </w:numPr>
        <w:suppressAutoHyphens/>
        <w:jc w:val="both"/>
      </w:pPr>
      <w:r>
        <w:t>tasso forfettario fino al 25 % dei costi diretti ammissibili, calcolato sulla base di un metodo giusto, equo e verificabile o di un metodo applicato nell'ambito di meccanismi di sovvenzione finanziati interamente dallo Stato membro per una tipologia analoga di operazione e beneficiario;</w:t>
      </w:r>
    </w:p>
    <w:p w:rsidR="003E748C" w:rsidRDefault="003E748C" w:rsidP="00BE7ABC">
      <w:pPr>
        <w:numPr>
          <w:ilvl w:val="0"/>
          <w:numId w:val="45"/>
        </w:numPr>
        <w:suppressAutoHyphens/>
        <w:jc w:val="both"/>
      </w:pPr>
      <w:r>
        <w:t>tasso forfettario fino al 15 % dei costi diretti ammissibili per il personale, senza che vi sia un obbligo di eseguire un calcolo per determinare il tasso applicabile;</w:t>
      </w:r>
    </w:p>
    <w:p w:rsidR="003E748C" w:rsidRDefault="003E748C" w:rsidP="00BE7ABC">
      <w:pPr>
        <w:numPr>
          <w:ilvl w:val="0"/>
          <w:numId w:val="45"/>
        </w:numPr>
        <w:suppressAutoHyphens/>
        <w:jc w:val="both"/>
        <w:rPr>
          <w:bCs/>
          <w:iCs/>
          <w:szCs w:val="28"/>
        </w:rPr>
      </w:pPr>
      <w:r>
        <w:t>tasso forfettario applicato ai costi diretti ammissibili, basato su metodi e valori individuati per altre politiche UE, per una tipologia analoga di operazione e beneficiario;</w:t>
      </w:r>
    </w:p>
    <w:p w:rsidR="003E748C" w:rsidRDefault="003E748C" w:rsidP="00BE7ABC">
      <w:pPr>
        <w:numPr>
          <w:ilvl w:val="0"/>
          <w:numId w:val="45"/>
        </w:numPr>
        <w:suppressAutoHyphens/>
        <w:jc w:val="both"/>
        <w:rPr>
          <w:bCs/>
          <w:iCs/>
          <w:szCs w:val="28"/>
        </w:rPr>
      </w:pPr>
      <w:r>
        <w:rPr>
          <w:bCs/>
          <w:iCs/>
          <w:szCs w:val="28"/>
        </w:rPr>
        <w:t>per le misure 4, 8 (sottomisura 8.6) e 16, che contribuiscono alla priorità 1 dello sviluppo rurale “</w:t>
      </w:r>
      <w:r>
        <w:rPr>
          <w:bCs/>
          <w:i/>
          <w:iCs/>
          <w:szCs w:val="28"/>
        </w:rPr>
        <w:t>Promuovere il trasferimento di conoscenze e l'innovazione nel settore agricolo e forestale e nelle zone rurali</w:t>
      </w:r>
      <w:r>
        <w:rPr>
          <w:bCs/>
          <w:iCs/>
          <w:szCs w:val="28"/>
        </w:rPr>
        <w:t xml:space="preserve">”, e che, nel caso della misura 4 e della sottomisura 8.6, fanno riferimento esclusivamente alle operazioni attuate da un gruppo operativo PEI, stesso tasso forfettario previsto per Orizzonte 2020, secondo le modalità stabilite dal Reg. (UE) n. 1290/2013. </w:t>
      </w:r>
    </w:p>
    <w:p w:rsidR="003E748C" w:rsidRDefault="003E748C" w:rsidP="003E748C">
      <w:pPr>
        <w:jc w:val="both"/>
        <w:rPr>
          <w:bCs/>
          <w:iCs/>
          <w:szCs w:val="28"/>
        </w:rPr>
      </w:pPr>
    </w:p>
    <w:p w:rsidR="003E748C" w:rsidRDefault="003E748C" w:rsidP="003E748C">
      <w:pPr>
        <w:jc w:val="both"/>
        <w:rPr>
          <w:bCs/>
          <w:iCs/>
          <w:szCs w:val="28"/>
        </w:rPr>
      </w:pPr>
      <w:r>
        <w:rPr>
          <w:bCs/>
          <w:iCs/>
          <w:szCs w:val="28"/>
        </w:rPr>
        <w:t>Per quello che riguarda la determinazione dei costi per il personale connessi con il costo dell’operazione, si ricorda infine che, secondo quanto previsto dall’articolo 68, punto 1 del Reg. (UE) n. 1303/2013, la tariffa oraria può essere ottenuta dividendo il più recente costo lordo annuo del personale per 1.720 ore, valore convenzionale medio che tiene conto di ferie, congedi, ecc. Resta possibile individuare altri valori di monte-ore, per i quali tuttavia sarà necessario fornire informazioni aggiuntive.</w:t>
      </w:r>
    </w:p>
    <w:p w:rsidR="003E748C" w:rsidRDefault="003E748C" w:rsidP="003E748C">
      <w:pPr>
        <w:jc w:val="both"/>
        <w:rPr>
          <w:bCs/>
          <w:iCs/>
          <w:szCs w:val="28"/>
        </w:rPr>
      </w:pPr>
    </w:p>
    <w:p w:rsidR="003E748C" w:rsidRDefault="003E748C" w:rsidP="003E748C">
      <w:pPr>
        <w:jc w:val="both"/>
      </w:pPr>
      <w:r>
        <w:rPr>
          <w:bCs/>
          <w:iCs/>
          <w:szCs w:val="28"/>
        </w:rPr>
        <w:t xml:space="preserve">Per quello che riguarda le norme specifiche per il fondo FEASR di cui al </w:t>
      </w:r>
      <w:r>
        <w:rPr>
          <w:bCs/>
          <w:iCs/>
          <w:szCs w:val="28"/>
          <w:u w:val="single"/>
        </w:rPr>
        <w:t>punto e)</w:t>
      </w:r>
      <w:r>
        <w:rPr>
          <w:bCs/>
          <w:iCs/>
          <w:szCs w:val="28"/>
        </w:rPr>
        <w:t xml:space="preserve">, esse fanno riferimento dalle ipotesi standard di costi aggiuntivi e mancato guadagno per le misure a superficie o a capo. In questo caso, il calcolo deve </w:t>
      </w:r>
      <w:r>
        <w:t>fare riferimento alla indicazioni dell’articolo 10.2 del Reg. di esecuzione (UE) n. 808/2014, che prevedono il rispetto dei seguenti principi, in continuità con quanto previsto per i precedenti periodi di programmazione:</w:t>
      </w:r>
    </w:p>
    <w:p w:rsidR="003E748C" w:rsidRDefault="003E748C" w:rsidP="003E748C">
      <w:pPr>
        <w:jc w:val="both"/>
      </w:pPr>
    </w:p>
    <w:p w:rsidR="003E748C" w:rsidRDefault="003E748C" w:rsidP="00BE7ABC">
      <w:pPr>
        <w:numPr>
          <w:ilvl w:val="0"/>
          <w:numId w:val="46"/>
        </w:numPr>
        <w:suppressAutoHyphens/>
        <w:jc w:val="both"/>
      </w:pPr>
      <w:r>
        <w:t>contenere unicamente elementi verificabili;</w:t>
      </w:r>
    </w:p>
    <w:p w:rsidR="003E748C" w:rsidRDefault="003E748C" w:rsidP="00BE7ABC">
      <w:pPr>
        <w:numPr>
          <w:ilvl w:val="0"/>
          <w:numId w:val="46"/>
        </w:numPr>
        <w:suppressAutoHyphens/>
        <w:jc w:val="both"/>
      </w:pPr>
      <w:r>
        <w:t>essere basati su valori assodati mediante opportune perizie;</w:t>
      </w:r>
    </w:p>
    <w:p w:rsidR="003E748C" w:rsidRDefault="003E748C" w:rsidP="00BE7ABC">
      <w:pPr>
        <w:numPr>
          <w:ilvl w:val="0"/>
          <w:numId w:val="46"/>
        </w:numPr>
        <w:suppressAutoHyphens/>
        <w:jc w:val="both"/>
      </w:pPr>
      <w:r>
        <w:lastRenderedPageBreak/>
        <w:t>indicare chiaramente le fonti dei dati utilizzati;</w:t>
      </w:r>
    </w:p>
    <w:p w:rsidR="003E748C" w:rsidRDefault="003E748C" w:rsidP="00BE7ABC">
      <w:pPr>
        <w:numPr>
          <w:ilvl w:val="0"/>
          <w:numId w:val="46"/>
        </w:numPr>
        <w:suppressAutoHyphens/>
        <w:jc w:val="both"/>
      </w:pPr>
      <w:r>
        <w:t>essere differenziati in funzione delle condizioni regionali/locali e dell’effettiva utilizzazione del suolo;</w:t>
      </w:r>
    </w:p>
    <w:p w:rsidR="003E748C" w:rsidRDefault="003E748C" w:rsidP="00BE7ABC">
      <w:pPr>
        <w:numPr>
          <w:ilvl w:val="0"/>
          <w:numId w:val="46"/>
        </w:numPr>
        <w:suppressAutoHyphens/>
        <w:jc w:val="both"/>
      </w:pPr>
      <w:r>
        <w:t>non contenere elementi connessi ai costi d’investimento.</w:t>
      </w:r>
    </w:p>
    <w:p w:rsidR="003E748C" w:rsidRDefault="003E748C" w:rsidP="003E748C">
      <w:pPr>
        <w:jc w:val="both"/>
      </w:pPr>
    </w:p>
    <w:p w:rsidR="003E748C" w:rsidRDefault="003E748C" w:rsidP="003E748C">
      <w:pPr>
        <w:jc w:val="both"/>
      </w:pPr>
    </w:p>
    <w:p w:rsidR="003E748C" w:rsidRDefault="003E748C" w:rsidP="003E748C">
      <w:pPr>
        <w:pStyle w:val="Titolo3"/>
        <w:numPr>
          <w:ilvl w:val="2"/>
          <w:numId w:val="0"/>
        </w:numPr>
        <w:tabs>
          <w:tab w:val="num" w:pos="720"/>
        </w:tabs>
        <w:suppressAutoHyphens/>
        <w:ind w:left="720" w:hanging="720"/>
      </w:pPr>
      <w:bookmarkStart w:id="24" w:name="__RefHeading___Toc426033393"/>
      <w:bookmarkStart w:id="25" w:name="_Toc432090714"/>
      <w:bookmarkEnd w:id="24"/>
      <w:r>
        <w:rPr>
          <w:rFonts w:ascii="Times New Roman" w:hAnsi="Times New Roman"/>
          <w:bCs w:val="0"/>
          <w:iCs/>
          <w:sz w:val="24"/>
          <w:szCs w:val="24"/>
        </w:rPr>
        <w:t>3.8.4 Perizia attestante l’esattezza e adeguatezza dei calcoli</w:t>
      </w:r>
      <w:bookmarkEnd w:id="25"/>
    </w:p>
    <w:p w:rsidR="003E748C" w:rsidRDefault="003E748C" w:rsidP="003E748C">
      <w:pPr>
        <w:jc w:val="both"/>
      </w:pPr>
    </w:p>
    <w:p w:rsidR="003E748C" w:rsidRDefault="003E748C" w:rsidP="003E748C">
      <w:pPr>
        <w:jc w:val="both"/>
      </w:pPr>
      <w:r>
        <w:t xml:space="preserve">Secondo quanto previsto dall’articolo 62 del Reg. (UE) n. 1305/2013, i calcoli necessari a quantificare i costi semplificati possono essere realizzati direttamente dall’Autorità di Gestione o da un organismo indipendente dotato di adeguate competenze. Nel caso in cui i calcoli siano effettuati direttamente dall’Autorità di Gestione, l’organismo indipendente confermerà l’esattezza e adeguatezza degli stessi, tramite apposita dichiarazione. Nel caso in cui l’organismo indipendente viene incarica anche dell’elaborazione dei calcoli, sarà comunque necessario inserire nel PSR la dichiarazione attestante l’esattezza e l’adeguatezza dei calcoli. </w:t>
      </w:r>
    </w:p>
    <w:p w:rsidR="003E748C" w:rsidRDefault="003E748C" w:rsidP="003E748C">
      <w:pPr>
        <w:jc w:val="both"/>
      </w:pPr>
    </w:p>
    <w:p w:rsidR="004311D4" w:rsidRPr="000325C7" w:rsidRDefault="000325C7" w:rsidP="003E748C">
      <w:pPr>
        <w:jc w:val="both"/>
      </w:pPr>
      <w:r>
        <w:t>La</w:t>
      </w:r>
      <w:r w:rsidR="004311D4" w:rsidRPr="000325C7">
        <w:t xml:space="preserve"> dichiarazione attestante l’esattezza e l’adeguatezza dei calcoli non è necessaria </w:t>
      </w:r>
      <w:r w:rsidR="008D78E7" w:rsidRPr="000325C7">
        <w:t xml:space="preserve">nei seguenti casi, per i quali non è </w:t>
      </w:r>
      <w:r>
        <w:t>richiesto</w:t>
      </w:r>
      <w:r w:rsidR="008D78E7" w:rsidRPr="000325C7">
        <w:t xml:space="preserve"> il metodo di calcolo:</w:t>
      </w:r>
    </w:p>
    <w:p w:rsidR="004311D4" w:rsidRPr="000325C7" w:rsidRDefault="004311D4" w:rsidP="004311D4">
      <w:pPr>
        <w:pStyle w:val="Paragrafoelenco"/>
        <w:numPr>
          <w:ilvl w:val="0"/>
          <w:numId w:val="53"/>
        </w:numPr>
        <w:jc w:val="both"/>
        <w:rPr>
          <w:rFonts w:ascii="Times New Roman" w:hAnsi="Times New Roman"/>
        </w:rPr>
      </w:pPr>
      <w:r w:rsidRPr="000325C7">
        <w:rPr>
          <w:rFonts w:ascii="Times New Roman" w:hAnsi="Times New Roman"/>
        </w:rPr>
        <w:t>valori individuati per interventi finanziati interamente dalla UE</w:t>
      </w:r>
      <w:r w:rsidR="008D78E7" w:rsidRPr="000325C7">
        <w:rPr>
          <w:rFonts w:ascii="Times New Roman" w:hAnsi="Times New Roman"/>
        </w:rPr>
        <w:t xml:space="preserve"> (Reg. (UE) n. 1303/2013, articolo 67.5, lettera b);</w:t>
      </w:r>
    </w:p>
    <w:p w:rsidR="004311D4" w:rsidRPr="000325C7" w:rsidRDefault="004311D4" w:rsidP="008D78E7">
      <w:pPr>
        <w:pStyle w:val="Paragrafoelenco"/>
        <w:numPr>
          <w:ilvl w:val="0"/>
          <w:numId w:val="53"/>
        </w:numPr>
        <w:jc w:val="both"/>
        <w:rPr>
          <w:rFonts w:ascii="Times New Roman" w:hAnsi="Times New Roman"/>
        </w:rPr>
      </w:pPr>
      <w:r w:rsidRPr="000325C7">
        <w:rPr>
          <w:rFonts w:ascii="Times New Roman" w:hAnsi="Times New Roman"/>
        </w:rPr>
        <w:t>valori individuati per interventi finanziati interamente con fondi nazionali</w:t>
      </w:r>
      <w:r w:rsidR="008D78E7" w:rsidRPr="000325C7">
        <w:rPr>
          <w:rFonts w:ascii="Times New Roman" w:hAnsi="Times New Roman"/>
        </w:rPr>
        <w:t xml:space="preserve"> UE (Reg. (UE) n. 1303/2013, articolo 67.5, lettera c);</w:t>
      </w:r>
    </w:p>
    <w:p w:rsidR="004311D4" w:rsidRPr="000325C7" w:rsidRDefault="004311D4" w:rsidP="008D78E7">
      <w:pPr>
        <w:pStyle w:val="Paragrafoelenco"/>
        <w:numPr>
          <w:ilvl w:val="0"/>
          <w:numId w:val="53"/>
        </w:numPr>
        <w:jc w:val="both"/>
        <w:rPr>
          <w:rFonts w:ascii="Times New Roman" w:hAnsi="Times New Roman"/>
        </w:rPr>
      </w:pPr>
      <w:r w:rsidRPr="000325C7">
        <w:rPr>
          <w:rFonts w:ascii="Times New Roman" w:hAnsi="Times New Roman"/>
        </w:rPr>
        <w:t>in caso di utilizzo degli</w:t>
      </w:r>
      <w:r w:rsidR="003E748C" w:rsidRPr="000325C7">
        <w:rPr>
          <w:rFonts w:ascii="Times New Roman" w:hAnsi="Times New Roman"/>
        </w:rPr>
        <w:t xml:space="preserve"> importi e </w:t>
      </w:r>
      <w:r w:rsidRPr="000325C7">
        <w:rPr>
          <w:rFonts w:ascii="Times New Roman" w:hAnsi="Times New Roman"/>
        </w:rPr>
        <w:t>de</w:t>
      </w:r>
      <w:r w:rsidR="003E748C" w:rsidRPr="000325C7">
        <w:rPr>
          <w:rFonts w:ascii="Times New Roman" w:hAnsi="Times New Roman"/>
        </w:rPr>
        <w:t>i tassi pr</w:t>
      </w:r>
      <w:r w:rsidR="008D78E7" w:rsidRPr="000325C7">
        <w:rPr>
          <w:rFonts w:ascii="Times New Roman" w:hAnsi="Times New Roman"/>
        </w:rPr>
        <w:t xml:space="preserve">evisti </w:t>
      </w:r>
      <w:r w:rsidR="000325C7" w:rsidRPr="000325C7">
        <w:rPr>
          <w:rFonts w:ascii="Times New Roman" w:hAnsi="Times New Roman"/>
        </w:rPr>
        <w:t xml:space="preserve">dal regolamento sui fondi SIE, ove applicabile, e dal FEASR </w:t>
      </w:r>
      <w:r w:rsidR="008D78E7" w:rsidRPr="000325C7">
        <w:rPr>
          <w:rFonts w:ascii="Times New Roman" w:hAnsi="Times New Roman"/>
        </w:rPr>
        <w:t>(Reg. (UE) n. 1303/2013, articolo 67.5, lettera d).</w:t>
      </w:r>
    </w:p>
    <w:p w:rsidR="003E748C" w:rsidRPr="004311D4" w:rsidRDefault="000325C7" w:rsidP="003E748C">
      <w:pPr>
        <w:jc w:val="both"/>
      </w:pPr>
      <w:r w:rsidRPr="000325C7">
        <w:t xml:space="preserve">La dichiarazione è invece necessaria </w:t>
      </w:r>
      <w:r w:rsidR="003E748C" w:rsidRPr="000325C7">
        <w:t>nel caso degli aiuti concessi sulla base di ipotesi standard di costi aggiuntivi e mancato guadagno.</w:t>
      </w:r>
    </w:p>
    <w:p w:rsidR="003E748C" w:rsidRDefault="003E748C" w:rsidP="003E748C">
      <w:pPr>
        <w:jc w:val="both"/>
      </w:pPr>
    </w:p>
    <w:p w:rsidR="003E748C" w:rsidRDefault="003E748C" w:rsidP="003E748C">
      <w:pPr>
        <w:jc w:val="both"/>
      </w:pPr>
      <w:r>
        <w:t xml:space="preserve">Come indicato al punto 1.6.5 della Guida, il PSR deve includere esclusivamente la metodologia utilizzata per il calcolo dei costi semplificati (ove richiesta, sulla base di quanto sopra indicato), più altre informazioni di dettaglio. </w:t>
      </w:r>
      <w:r w:rsidRPr="000325C7">
        <w:t>L’indicazione degli importi e dei tassi derivanti dai calcoli nel PSR non è espressamente richiesta, anche se può essere inserita a titolo facoltativo.</w:t>
      </w:r>
      <w:r>
        <w:t xml:space="preserve"> Tali valori dovranno tuttavia essere chiaramente identificati e resi pubblici prima della pubblicazione dei bandi. Se nel corso della programmazione la metodologia viene variata o integrata, sarà inoltre necessario procedere alla modifica del PSR aggiornamento le sezioni interessate, ivi compresa la dichiarazione attestante l’esattezza e l’adeguatezza dei calcoli.</w:t>
      </w:r>
    </w:p>
    <w:p w:rsidR="003E748C" w:rsidRDefault="00F16DEB" w:rsidP="003E748C">
      <w:pPr>
        <w:jc w:val="both"/>
      </w:pPr>
      <w:r>
        <w:t xml:space="preserve"> </w:t>
      </w:r>
    </w:p>
    <w:p w:rsidR="003E748C" w:rsidRDefault="003E748C" w:rsidP="003E748C">
      <w:pPr>
        <w:jc w:val="both"/>
      </w:pPr>
      <w:r>
        <w:t>Nel caso in cui l’Autorità di Gestione intenda utilizzare le opzioni dei costi semplificati, il testo del PSR dovrà contenere le seguenti informazioni:</w:t>
      </w:r>
    </w:p>
    <w:p w:rsidR="003E748C" w:rsidRDefault="003E748C" w:rsidP="003E748C">
      <w:pPr>
        <w:jc w:val="both"/>
      </w:pPr>
    </w:p>
    <w:tbl>
      <w:tblPr>
        <w:tblW w:w="0" w:type="auto"/>
        <w:tblInd w:w="-5" w:type="dxa"/>
        <w:tblLayout w:type="fixed"/>
        <w:tblLook w:val="0000" w:firstRow="0" w:lastRow="0" w:firstColumn="0" w:lastColumn="0" w:noHBand="0" w:noVBand="0"/>
      </w:tblPr>
      <w:tblGrid>
        <w:gridCol w:w="2802"/>
        <w:gridCol w:w="6986"/>
      </w:tblGrid>
      <w:tr w:rsidR="003E748C" w:rsidTr="000A221C">
        <w:tc>
          <w:tcPr>
            <w:tcW w:w="2802" w:type="dxa"/>
            <w:tcBorders>
              <w:top w:val="single" w:sz="4" w:space="0" w:color="000000"/>
              <w:left w:val="single" w:sz="4" w:space="0" w:color="000000"/>
              <w:bottom w:val="single" w:sz="4" w:space="0" w:color="000000"/>
            </w:tcBorders>
            <w:shd w:val="clear" w:color="auto" w:fill="auto"/>
          </w:tcPr>
          <w:p w:rsidR="003E748C" w:rsidRDefault="003E748C" w:rsidP="000A221C">
            <w:pPr>
              <w:jc w:val="both"/>
            </w:pPr>
            <w:r>
              <w:t>Sezione 8 – descrizione delle misure selezionate</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3E748C" w:rsidRDefault="003E748C" w:rsidP="00BE7ABC">
            <w:pPr>
              <w:numPr>
                <w:ilvl w:val="2"/>
                <w:numId w:val="47"/>
              </w:numPr>
              <w:suppressAutoHyphens/>
              <w:jc w:val="both"/>
            </w:pPr>
            <w:r>
              <w:t>Lista dei costi ammissibili per i quali si intendono utilizzare i costi semplificati</w:t>
            </w:r>
          </w:p>
          <w:p w:rsidR="003E748C" w:rsidRPr="007330CB" w:rsidRDefault="003E748C" w:rsidP="00BE7ABC">
            <w:pPr>
              <w:numPr>
                <w:ilvl w:val="2"/>
                <w:numId w:val="47"/>
              </w:numPr>
              <w:suppressAutoHyphens/>
              <w:jc w:val="both"/>
            </w:pPr>
            <w:r w:rsidRPr="007330CB">
              <w:t>In via facoltativa e se chiaramente identificati e noti, valori degli importi o dei tassi individuati a seguito dei calcoli</w:t>
            </w:r>
          </w:p>
          <w:p w:rsidR="003E748C" w:rsidRDefault="003E748C" w:rsidP="00BE7ABC">
            <w:pPr>
              <w:numPr>
                <w:ilvl w:val="2"/>
                <w:numId w:val="47"/>
              </w:numPr>
              <w:suppressAutoHyphens/>
              <w:jc w:val="both"/>
            </w:pPr>
            <w:r>
              <w:t>Indicazione della base giuridica prescelta in casi di utilizzo del costi semplificati (p.e. articolo 67, punto 1, lettera a) del Reg. (UE) n. 1303/2013, articolo 68, punto 1, lettera b) del Reg. (UE) n. 1303/2013, ecc.)</w:t>
            </w:r>
          </w:p>
        </w:tc>
      </w:tr>
      <w:tr w:rsidR="003E748C" w:rsidTr="000A221C">
        <w:tc>
          <w:tcPr>
            <w:tcW w:w="2802" w:type="dxa"/>
            <w:tcBorders>
              <w:top w:val="single" w:sz="4" w:space="0" w:color="000000"/>
              <w:left w:val="single" w:sz="4" w:space="0" w:color="000000"/>
              <w:bottom w:val="single" w:sz="4" w:space="0" w:color="000000"/>
            </w:tcBorders>
            <w:shd w:val="clear" w:color="auto" w:fill="auto"/>
          </w:tcPr>
          <w:p w:rsidR="003E748C" w:rsidRDefault="003E748C" w:rsidP="000A221C">
            <w:pPr>
              <w:jc w:val="both"/>
            </w:pPr>
            <w:r>
              <w:t>Sezione 15 – modalità di attuazione del programma</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3E748C" w:rsidRDefault="003E748C" w:rsidP="000A221C">
            <w:pPr>
              <w:jc w:val="both"/>
            </w:pPr>
            <w:r>
              <w:t xml:space="preserve">In relazione alla descrizione delle azioni intese a ridurre gli oneri amministrativi a carico dei beneficiari, informazioni sui costi </w:t>
            </w:r>
            <w:r>
              <w:lastRenderedPageBreak/>
              <w:t>semplificati prescelti e rispettive misure</w:t>
            </w:r>
          </w:p>
        </w:tc>
      </w:tr>
      <w:tr w:rsidR="003E748C" w:rsidTr="000A221C">
        <w:tc>
          <w:tcPr>
            <w:tcW w:w="2802" w:type="dxa"/>
            <w:tcBorders>
              <w:top w:val="single" w:sz="4" w:space="0" w:color="000000"/>
              <w:left w:val="single" w:sz="4" w:space="0" w:color="000000"/>
              <w:bottom w:val="single" w:sz="4" w:space="0" w:color="000000"/>
            </w:tcBorders>
            <w:shd w:val="clear" w:color="auto" w:fill="auto"/>
          </w:tcPr>
          <w:p w:rsidR="003E748C" w:rsidRDefault="003E748C" w:rsidP="000A221C">
            <w:pPr>
              <w:jc w:val="both"/>
            </w:pPr>
            <w:r>
              <w:lastRenderedPageBreak/>
              <w:t>Sezione 18 – valutazione ex ante della verificabilità, controllabilità e del rischio di errore</w:t>
            </w:r>
          </w:p>
          <w:p w:rsidR="003E748C" w:rsidRDefault="003E748C" w:rsidP="000A221C">
            <w:pPr>
              <w:jc w:val="both"/>
            </w:pP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3E748C" w:rsidRDefault="003E748C" w:rsidP="000A221C">
            <w:pPr>
              <w:jc w:val="both"/>
            </w:pPr>
            <w:r>
              <w:t>Dichiarazione dell’organismo funzionalmente indipendente, limitatamente ai costi semplificati individuati ai sensi dell’articolo 67, punto 1, lettera a) del Reg. (UE) n. 1303/2013 o delle ipotesi standard di costi aggiuntivi e mancato guadagno per le misure a superficie e a capo</w:t>
            </w:r>
          </w:p>
        </w:tc>
      </w:tr>
    </w:tbl>
    <w:p w:rsidR="003E748C" w:rsidRDefault="003E748C" w:rsidP="003E748C">
      <w:pPr>
        <w:jc w:val="both"/>
      </w:pPr>
    </w:p>
    <w:p w:rsidR="003E748C" w:rsidRDefault="003E748C" w:rsidP="003E748C">
      <w:pPr>
        <w:jc w:val="both"/>
        <w:rPr>
          <w:shd w:val="clear" w:color="auto" w:fill="FFFF00"/>
        </w:rPr>
      </w:pPr>
    </w:p>
    <w:p w:rsidR="003E748C" w:rsidRDefault="003E748C" w:rsidP="003E748C">
      <w:pPr>
        <w:pStyle w:val="Titolo3"/>
        <w:numPr>
          <w:ilvl w:val="2"/>
          <w:numId w:val="0"/>
        </w:numPr>
        <w:tabs>
          <w:tab w:val="num" w:pos="720"/>
        </w:tabs>
        <w:suppressAutoHyphens/>
        <w:ind w:left="720" w:hanging="720"/>
      </w:pPr>
      <w:bookmarkStart w:id="26" w:name="__RefHeading___Toc426033394"/>
      <w:bookmarkStart w:id="27" w:name="_Toc432090715"/>
      <w:bookmarkEnd w:id="26"/>
      <w:r>
        <w:rPr>
          <w:rFonts w:ascii="Times New Roman" w:hAnsi="Times New Roman"/>
          <w:bCs w:val="0"/>
          <w:iCs/>
          <w:sz w:val="24"/>
          <w:szCs w:val="24"/>
        </w:rPr>
        <w:t>3.8.5 Principi per la gestione e il controllo</w:t>
      </w:r>
      <w:bookmarkEnd w:id="27"/>
    </w:p>
    <w:p w:rsidR="003E748C" w:rsidRDefault="003E748C" w:rsidP="003E748C">
      <w:pPr>
        <w:jc w:val="both"/>
      </w:pPr>
    </w:p>
    <w:p w:rsidR="003E748C" w:rsidRDefault="003E748C" w:rsidP="003E748C">
      <w:pPr>
        <w:jc w:val="both"/>
      </w:pPr>
      <w:r>
        <w:t>La scelta di introdurre le opzioni dei costi semplificati comporta, da parte dell’Autorità di Gestione e dell’Organismo Pagatore, l’adozione di un diverso approccio di gestione e controllo, che si discosta da quello tradizionale dei costi reali.</w:t>
      </w:r>
    </w:p>
    <w:p w:rsidR="003E748C" w:rsidRDefault="003E748C" w:rsidP="003E748C">
      <w:pPr>
        <w:jc w:val="both"/>
      </w:pPr>
    </w:p>
    <w:p w:rsidR="003E748C" w:rsidRDefault="003E748C" w:rsidP="003E748C">
      <w:pPr>
        <w:jc w:val="both"/>
      </w:pPr>
      <w:r>
        <w:t>Lo stesso Reg. (UE) n. 1305/2013 art. 60.4 prevede, del resto, che i pagamenti effettuati dai beneficiari siano giustificati da fatture e documenti probatori o da documenti aventi forza probatoria equivalente, tranne per le tabelle standard di costi unitari, le somme forfettarie e i finanziamenti a tasso forfettario previsti dal Reg. (UE) n. 1303/2013.</w:t>
      </w:r>
    </w:p>
    <w:p w:rsidR="003E748C" w:rsidRDefault="003E748C" w:rsidP="003E748C">
      <w:pPr>
        <w:jc w:val="both"/>
      </w:pPr>
    </w:p>
    <w:p w:rsidR="003E748C" w:rsidRDefault="003E748C" w:rsidP="003E748C">
      <w:pPr>
        <w:jc w:val="both"/>
      </w:pPr>
      <w:r>
        <w:t xml:space="preserve">Ne deriva che, in caso di adozione delle opzioni dei costi semplificati, gli incaricati delle verifiche gestionali e dei costi contabili dovranno spostare la loro attenzione dalla analisi delle fatture e degli altri documenti probatori, normalmente verificati in caso di sovvenzioni basate sui “costi reali” dell’operazione, alla verifica dei risultati o </w:t>
      </w:r>
      <w:r w:rsidRPr="00066C88">
        <w:t xml:space="preserve">output </w:t>
      </w:r>
      <w:r>
        <w:t xml:space="preserve">effettivamente conseguiti dal progetto. Nella pratica, la verifica della corrispondenza tra importo richiesto per il sostegno e importo indicato nelle fatture non </w:t>
      </w:r>
      <w:r w:rsidRPr="00066C88">
        <w:t>deve essere praticata per non vanificare il concetto stesso di costo semplificato.</w:t>
      </w:r>
    </w:p>
    <w:p w:rsidR="003E748C" w:rsidRDefault="003E748C" w:rsidP="003E748C">
      <w:pPr>
        <w:jc w:val="both"/>
      </w:pPr>
    </w:p>
    <w:p w:rsidR="003E748C" w:rsidRDefault="003E748C" w:rsidP="004E1CB3">
      <w:pPr>
        <w:jc w:val="both"/>
      </w:pPr>
      <w:r>
        <w:t>In caso di adozione delle opzioni dei costi semplificati, gli element</w:t>
      </w:r>
      <w:r w:rsidR="00F36AA2">
        <w:t xml:space="preserve">i a cui prestare attenzione </w:t>
      </w:r>
      <w:r w:rsidR="004E1CB3">
        <w:t xml:space="preserve">per la messa a punto della metodologia dovrebbero essere la </w:t>
      </w:r>
      <w:r>
        <w:t xml:space="preserve">solidità, </w:t>
      </w:r>
      <w:r w:rsidR="004E1CB3">
        <w:t xml:space="preserve">la </w:t>
      </w:r>
      <w:r>
        <w:t xml:space="preserve">correttezza e </w:t>
      </w:r>
      <w:r w:rsidR="004E1CB3">
        <w:t xml:space="preserve">la </w:t>
      </w:r>
      <w:r>
        <w:t xml:space="preserve">tracciabilità del calcolo </w:t>
      </w:r>
      <w:r w:rsidR="00F9043F">
        <w:t>effettuato. In particolare si ritiene importante garantire l’affidabilità delle fonti utilizzate.</w:t>
      </w:r>
    </w:p>
    <w:p w:rsidR="004E1CB3" w:rsidRDefault="004E1CB3" w:rsidP="004E1CB3">
      <w:pPr>
        <w:suppressAutoHyphens/>
        <w:jc w:val="both"/>
      </w:pPr>
    </w:p>
    <w:p w:rsidR="003E748C" w:rsidRDefault="009F0854" w:rsidP="004E1CB3">
      <w:pPr>
        <w:suppressAutoHyphens/>
        <w:jc w:val="both"/>
      </w:pPr>
      <w:r>
        <w:t>In fase esecutiva</w:t>
      </w:r>
      <w:r w:rsidR="004E1CB3">
        <w:t xml:space="preserve">, sarà necessario garantire la </w:t>
      </w:r>
      <w:r>
        <w:t>corretta applicazione</w:t>
      </w:r>
      <w:r w:rsidR="003E748C">
        <w:t xml:space="preserve"> del metodo stabilito per i costi unitari e gli importi forfettari, attraverso l’esame dei risultati </w:t>
      </w:r>
      <w:r w:rsidR="004E1CB3">
        <w:t>(</w:t>
      </w:r>
      <w:r w:rsidR="004E1CB3" w:rsidRPr="004E1CB3">
        <w:rPr>
          <w:i/>
        </w:rPr>
        <w:t>output</w:t>
      </w:r>
      <w:r w:rsidR="004E1CB3">
        <w:t xml:space="preserve">) </w:t>
      </w:r>
      <w:r w:rsidR="003E748C">
        <w:t>del progetto</w:t>
      </w:r>
      <w:r w:rsidR="004E1CB3">
        <w:t>. I</w:t>
      </w:r>
      <w:r w:rsidR="003E748C">
        <w:t>n caso d</w:t>
      </w:r>
      <w:r>
        <w:t>i adozione</w:t>
      </w:r>
      <w:r w:rsidR="00F36AA2">
        <w:t xml:space="preserve"> di tassi forfettari,</w:t>
      </w:r>
      <w:r w:rsidR="003E748C">
        <w:t xml:space="preserve"> </w:t>
      </w:r>
      <w:r>
        <w:t>sarà inoltre</w:t>
      </w:r>
      <w:r w:rsidR="004E1CB3">
        <w:t xml:space="preserve"> necessaria la </w:t>
      </w:r>
      <w:r w:rsidR="003E748C">
        <w:t>verifica dei costi reali</w:t>
      </w:r>
      <w:r w:rsidR="00F36AA2">
        <w:t xml:space="preserve"> e delle relative categorie</w:t>
      </w:r>
      <w:r w:rsidR="003E748C">
        <w:t xml:space="preserve"> su cui calcolare il tasso.</w:t>
      </w:r>
    </w:p>
    <w:p w:rsidR="003E748C" w:rsidRDefault="003E748C" w:rsidP="003E748C">
      <w:pPr>
        <w:jc w:val="both"/>
      </w:pPr>
    </w:p>
    <w:p w:rsidR="003E748C" w:rsidRDefault="003E748C" w:rsidP="003E748C">
      <w:pPr>
        <w:jc w:val="both"/>
      </w:pPr>
      <w:r>
        <w:t>Sono questi i principi generali a cui rifarsi per la gestione e controllo delle operazioni sovvenzionate tramite i costi semplificati. Per ulteriori dettagli, approfondimenti e anche suggerimenti si come impostare il sistema di gestione e controllo nel caso dei costi semplificati, si rimanda al capitolo 6 della Guida redatta dalla Commissione europea.</w:t>
      </w:r>
    </w:p>
    <w:p w:rsidR="00030BB8" w:rsidRPr="00030BB8" w:rsidRDefault="00030BB8" w:rsidP="00030BB8">
      <w:pPr>
        <w:rPr>
          <w:color w:val="000000"/>
          <w:sz w:val="27"/>
          <w:szCs w:val="27"/>
        </w:rPr>
      </w:pPr>
    </w:p>
    <w:p w:rsidR="00030BB8" w:rsidRPr="00030BB8" w:rsidRDefault="00030BB8" w:rsidP="00030BB8">
      <w:pPr>
        <w:rPr>
          <w:b/>
        </w:rPr>
      </w:pPr>
    </w:p>
    <w:p w:rsidR="00522292" w:rsidRDefault="00522292" w:rsidP="00DE4C31"/>
    <w:p w:rsidR="000E3CD6" w:rsidRDefault="00746DDE" w:rsidP="00273BE4">
      <w:pPr>
        <w:pStyle w:val="Titolo2"/>
        <w:tabs>
          <w:tab w:val="left" w:pos="720"/>
        </w:tabs>
        <w:ind w:left="720" w:right="126" w:hanging="720"/>
        <w:rPr>
          <w:snapToGrid w:val="0"/>
        </w:rPr>
      </w:pPr>
      <w:bookmarkStart w:id="28" w:name="_Toc432090716"/>
      <w:r>
        <w:rPr>
          <w:snapToGrid w:val="0"/>
        </w:rPr>
        <w:t>3</w:t>
      </w:r>
      <w:r w:rsidR="000E3CD6">
        <w:rPr>
          <w:snapToGrid w:val="0"/>
        </w:rPr>
        <w:t>.</w:t>
      </w:r>
      <w:r w:rsidR="00767656">
        <w:rPr>
          <w:snapToGrid w:val="0"/>
        </w:rPr>
        <w:t xml:space="preserve">9 </w:t>
      </w:r>
      <w:r w:rsidR="000E3CD6">
        <w:rPr>
          <w:snapToGrid w:val="0"/>
        </w:rPr>
        <w:t>Anticipi</w:t>
      </w:r>
      <w:bookmarkEnd w:id="28"/>
      <w:r w:rsidR="000E3CD6">
        <w:rPr>
          <w:snapToGrid w:val="0"/>
        </w:rPr>
        <w:t xml:space="preserve"> </w:t>
      </w:r>
    </w:p>
    <w:p w:rsidR="000E3CD6" w:rsidRDefault="000E3CD6" w:rsidP="00B254CB">
      <w:pPr>
        <w:spacing w:before="120"/>
        <w:ind w:right="126"/>
        <w:jc w:val="both"/>
        <w:rPr>
          <w:bCs/>
        </w:rPr>
      </w:pPr>
      <w:r w:rsidRPr="00B254CB">
        <w:rPr>
          <w:bCs/>
        </w:rPr>
        <w:t xml:space="preserve">In base </w:t>
      </w:r>
      <w:r w:rsidR="00F302B6" w:rsidRPr="00B254CB">
        <w:rPr>
          <w:bCs/>
        </w:rPr>
        <w:t>a</w:t>
      </w:r>
      <w:r w:rsidR="00F302B6">
        <w:rPr>
          <w:bCs/>
        </w:rPr>
        <w:t xml:space="preserve">gli </w:t>
      </w:r>
      <w:r w:rsidR="00F302B6" w:rsidRPr="00B254CB">
        <w:rPr>
          <w:bCs/>
        </w:rPr>
        <w:t>ar</w:t>
      </w:r>
      <w:r w:rsidR="00F302B6">
        <w:rPr>
          <w:bCs/>
        </w:rPr>
        <w:t>t</w:t>
      </w:r>
      <w:r w:rsidR="00F302B6" w:rsidRPr="00B254CB">
        <w:rPr>
          <w:bCs/>
        </w:rPr>
        <w:t>t</w:t>
      </w:r>
      <w:r w:rsidRPr="00B254CB">
        <w:rPr>
          <w:bCs/>
        </w:rPr>
        <w:t xml:space="preserve">. </w:t>
      </w:r>
      <w:r w:rsidR="00572DAF">
        <w:rPr>
          <w:bCs/>
        </w:rPr>
        <w:t>45</w:t>
      </w:r>
      <w:r w:rsidRPr="00B254CB">
        <w:rPr>
          <w:bCs/>
        </w:rPr>
        <w:t xml:space="preserve"> </w:t>
      </w:r>
      <w:r w:rsidR="00F302B6">
        <w:rPr>
          <w:bCs/>
        </w:rPr>
        <w:t xml:space="preserve">e 63 </w:t>
      </w:r>
      <w:r w:rsidRPr="00B254CB">
        <w:rPr>
          <w:bCs/>
        </w:rPr>
        <w:t xml:space="preserve">del Reg. </w:t>
      </w:r>
      <w:r w:rsidR="00650C73">
        <w:rPr>
          <w:bCs/>
        </w:rPr>
        <w:t>(</w:t>
      </w:r>
      <w:r w:rsidR="00583A74">
        <w:rPr>
          <w:bCs/>
        </w:rPr>
        <w:t>UE</w:t>
      </w:r>
      <w:r w:rsidR="00650C73">
        <w:rPr>
          <w:bCs/>
        </w:rPr>
        <w:t>)</w:t>
      </w:r>
      <w:r w:rsidRPr="00B254CB">
        <w:rPr>
          <w:bCs/>
        </w:rPr>
        <w:t xml:space="preserve"> n. </w:t>
      </w:r>
      <w:r w:rsidR="00583A74">
        <w:rPr>
          <w:bCs/>
        </w:rPr>
        <w:t>1305</w:t>
      </w:r>
      <w:r w:rsidRPr="00B254CB">
        <w:rPr>
          <w:bCs/>
        </w:rPr>
        <w:t>/</w:t>
      </w:r>
      <w:r w:rsidR="00583A74" w:rsidRPr="00B254CB">
        <w:rPr>
          <w:bCs/>
        </w:rPr>
        <w:t>20</w:t>
      </w:r>
      <w:r w:rsidR="00583A74">
        <w:rPr>
          <w:bCs/>
        </w:rPr>
        <w:t>13</w:t>
      </w:r>
      <w:r w:rsidRPr="00B254CB">
        <w:rPr>
          <w:bCs/>
        </w:rPr>
        <w:t xml:space="preserve">, </w:t>
      </w:r>
      <w:r w:rsidR="00583A74">
        <w:rPr>
          <w:bCs/>
        </w:rPr>
        <w:t>i</w:t>
      </w:r>
      <w:r w:rsidR="00583A74" w:rsidRPr="00583A74">
        <w:rPr>
          <w:bCs/>
        </w:rPr>
        <w:t xml:space="preserve"> beneficiari del sostegno agli investimenti possono chiedere al competente organismo pagatore il versamento di un anticipo non superiore al 50 % dell'aiuto pubblico per l'investimento se tale possibilità è prevista nel programma di sviluppo rurale.</w:t>
      </w:r>
      <w:r w:rsidR="00583A74">
        <w:rPr>
          <w:bCs/>
        </w:rPr>
        <w:t xml:space="preserve"> </w:t>
      </w:r>
      <w:r w:rsidRPr="00EF54EA">
        <w:rPr>
          <w:bCs/>
        </w:rPr>
        <w:t>L</w:t>
      </w:r>
      <w:r w:rsidRPr="00357505">
        <w:rPr>
          <w:bCs/>
        </w:rPr>
        <w:t>’ammontare di tale anticipo non può superare il 50% del</w:t>
      </w:r>
      <w:r w:rsidR="00B2445B" w:rsidRPr="00B34DCA">
        <w:rPr>
          <w:bCs/>
        </w:rPr>
        <w:t xml:space="preserve"> contributo pubblico spettante per l’investimento stesso e deve essere </w:t>
      </w:r>
      <w:r w:rsidR="00CA41C9">
        <w:rPr>
          <w:bCs/>
        </w:rPr>
        <w:t>subordinato al</w:t>
      </w:r>
      <w:r w:rsidR="00B2445B">
        <w:rPr>
          <w:bCs/>
        </w:rPr>
        <w:t xml:space="preserve"> rilascio di una garanzia bancaria, o equivalente, corrispondente al </w:t>
      </w:r>
      <w:r w:rsidR="00F302B6">
        <w:rPr>
          <w:bCs/>
        </w:rPr>
        <w:t>100</w:t>
      </w:r>
      <w:r w:rsidR="00B2445B">
        <w:rPr>
          <w:bCs/>
        </w:rPr>
        <w:t>% dell’ammontare dell’anticipo stesso.</w:t>
      </w:r>
    </w:p>
    <w:p w:rsidR="0066216E" w:rsidRDefault="00EF0C30" w:rsidP="00B254CB">
      <w:pPr>
        <w:spacing w:before="120"/>
        <w:ind w:right="126"/>
        <w:jc w:val="both"/>
        <w:rPr>
          <w:bCs/>
        </w:rPr>
      </w:pPr>
      <w:r>
        <w:rPr>
          <w:bCs/>
        </w:rPr>
        <w:lastRenderedPageBreak/>
        <w:t>Nel caso in cui il progetto si concluda con un pagamento complessivo inferiore all’importo approvato, occorre recuperare gli interessi maturati sulla parte eccedente l’anticipo  pagato</w:t>
      </w:r>
      <w:r w:rsidR="002A5920">
        <w:rPr>
          <w:bCs/>
        </w:rPr>
        <w:t>.</w:t>
      </w:r>
      <w:r>
        <w:rPr>
          <w:bCs/>
        </w:rPr>
        <w:t xml:space="preserve"> </w:t>
      </w:r>
      <w:r w:rsidR="002A5920">
        <w:rPr>
          <w:bCs/>
        </w:rPr>
        <w:t xml:space="preserve"> </w:t>
      </w:r>
      <w:r w:rsidR="0066216E">
        <w:rPr>
          <w:bCs/>
        </w:rPr>
        <w:t>Ove si debba recuperare integralmente l’</w:t>
      </w:r>
      <w:r w:rsidR="009F6D75">
        <w:rPr>
          <w:bCs/>
        </w:rPr>
        <w:t>anticipo, occ</w:t>
      </w:r>
      <w:r w:rsidR="0066216E">
        <w:rPr>
          <w:bCs/>
        </w:rPr>
        <w:t xml:space="preserve">orre recuperare </w:t>
      </w:r>
      <w:r w:rsidR="00F36FBC">
        <w:rPr>
          <w:bCs/>
        </w:rPr>
        <w:t xml:space="preserve">anche tutti </w:t>
      </w:r>
      <w:r w:rsidR="009F6D75">
        <w:rPr>
          <w:bCs/>
        </w:rPr>
        <w:t xml:space="preserve">gli interessi della somma anticipata. </w:t>
      </w:r>
    </w:p>
    <w:p w:rsidR="00EF0C30" w:rsidRDefault="00EA1E71" w:rsidP="00F302B6">
      <w:pPr>
        <w:spacing w:before="120"/>
        <w:ind w:right="126"/>
        <w:jc w:val="both"/>
        <w:rPr>
          <w:bCs/>
        </w:rPr>
      </w:pPr>
      <w:r>
        <w:rPr>
          <w:bCs/>
        </w:rPr>
        <w:t>Per gli  enti pubblici, un atto rilasciato dall’organo giuridico decisionale</w:t>
      </w:r>
      <w:r w:rsidR="00F302B6">
        <w:rPr>
          <w:bCs/>
        </w:rPr>
        <w:t xml:space="preserve"> è ritenuto equivalente alla garanzia suddetta a condizione che tale autorità si impegni a versare l’importo </w:t>
      </w:r>
      <w:r>
        <w:rPr>
          <w:bCs/>
        </w:rPr>
        <w:t>erogato a titolo di anticipo</w:t>
      </w:r>
      <w:r w:rsidR="00F302B6">
        <w:rPr>
          <w:bCs/>
        </w:rPr>
        <w:t xml:space="preserve"> se il diritto all’anticipo </w:t>
      </w:r>
      <w:r w:rsidR="00F302B6" w:rsidRPr="00EF0C30">
        <w:rPr>
          <w:bCs/>
        </w:rPr>
        <w:t xml:space="preserve">non </w:t>
      </w:r>
      <w:r w:rsidR="00F302B6">
        <w:rPr>
          <w:bCs/>
        </w:rPr>
        <w:t xml:space="preserve">è stato riconosciuto. </w:t>
      </w:r>
    </w:p>
    <w:p w:rsidR="00F302B6" w:rsidRDefault="00F302B6" w:rsidP="00F302B6">
      <w:pPr>
        <w:spacing w:before="120"/>
        <w:ind w:right="126"/>
        <w:jc w:val="both"/>
      </w:pPr>
      <w:r>
        <w:t>N</w:t>
      </w:r>
      <w:r w:rsidR="002A5920">
        <w:t>ell’allegato 1 sono riportate le misure e sottomisure che comprendono</w:t>
      </w:r>
      <w:r>
        <w:t xml:space="preserve"> operazioni </w:t>
      </w:r>
      <w:r w:rsidR="002A5920">
        <w:t xml:space="preserve">di investimento, </w:t>
      </w:r>
      <w:r>
        <w:t>per le quali è possibile concedere u</w:t>
      </w:r>
      <w:r w:rsidR="00EF0C30">
        <w:t>n</w:t>
      </w:r>
      <w:r>
        <w:t xml:space="preserve"> anticipo.</w:t>
      </w:r>
    </w:p>
    <w:p w:rsidR="00647DD4" w:rsidRPr="0010209C" w:rsidRDefault="00CA41C9" w:rsidP="00B254CB">
      <w:pPr>
        <w:spacing w:before="120"/>
        <w:ind w:right="126"/>
        <w:jc w:val="both"/>
        <w:rPr>
          <w:bCs/>
        </w:rPr>
      </w:pPr>
      <w:r w:rsidRPr="0010209C">
        <w:rPr>
          <w:bCs/>
        </w:rPr>
        <w:t xml:space="preserve">Tenuto conto che per le Autorità di Gestione la concessione dell’anticipo ed il suo ammontare rappresentano un opzione (non sono obbligatori), </w:t>
      </w:r>
      <w:r w:rsidR="0010209C" w:rsidRPr="0010209C">
        <w:rPr>
          <w:bCs/>
        </w:rPr>
        <w:t>per gli aspetti</w:t>
      </w:r>
      <w:r w:rsidRPr="0010209C">
        <w:rPr>
          <w:bCs/>
        </w:rPr>
        <w:t xml:space="preserve"> procedural</w:t>
      </w:r>
      <w:r w:rsidR="0010209C" w:rsidRPr="0010209C">
        <w:rPr>
          <w:bCs/>
        </w:rPr>
        <w:t>i</w:t>
      </w:r>
      <w:r w:rsidRPr="0010209C">
        <w:rPr>
          <w:bCs/>
        </w:rPr>
        <w:t xml:space="preserve"> </w:t>
      </w:r>
      <w:r w:rsidR="0010209C" w:rsidRPr="0010209C">
        <w:rPr>
          <w:bCs/>
        </w:rPr>
        <w:t xml:space="preserve">si </w:t>
      </w:r>
      <w:r w:rsidRPr="0010209C">
        <w:rPr>
          <w:bCs/>
        </w:rPr>
        <w:t xml:space="preserve">rende necessario consentire agli </w:t>
      </w:r>
      <w:r w:rsidR="00647DD4" w:rsidRPr="0010209C">
        <w:rPr>
          <w:bCs/>
        </w:rPr>
        <w:t>o</w:t>
      </w:r>
      <w:r w:rsidRPr="0010209C">
        <w:rPr>
          <w:bCs/>
        </w:rPr>
        <w:t xml:space="preserve">rganismi </w:t>
      </w:r>
      <w:r w:rsidR="00647DD4" w:rsidRPr="0010209C">
        <w:rPr>
          <w:bCs/>
        </w:rPr>
        <w:t>pagatori di ottenere dalle stesse Autorità le informazioni necessarie per il pagamento degli anticipi.</w:t>
      </w:r>
    </w:p>
    <w:p w:rsidR="002D3DC2" w:rsidRPr="0010209C" w:rsidRDefault="00647DD4" w:rsidP="00B254CB">
      <w:pPr>
        <w:spacing w:before="120"/>
        <w:ind w:right="126"/>
        <w:jc w:val="both"/>
        <w:rPr>
          <w:bCs/>
        </w:rPr>
      </w:pPr>
      <w:r w:rsidRPr="0010209C">
        <w:rPr>
          <w:bCs/>
        </w:rPr>
        <w:t xml:space="preserve">Pertanto, ogni nuovo </w:t>
      </w:r>
      <w:r w:rsidR="00707387" w:rsidRPr="0010209C">
        <w:rPr>
          <w:bCs/>
        </w:rPr>
        <w:t xml:space="preserve">bando dovrà contenere un’indicazione sulle </w:t>
      </w:r>
      <w:r w:rsidR="002D3DC2" w:rsidRPr="0010209C">
        <w:rPr>
          <w:bCs/>
        </w:rPr>
        <w:t>modalità</w:t>
      </w:r>
      <w:r w:rsidR="00707387" w:rsidRPr="0010209C">
        <w:rPr>
          <w:bCs/>
        </w:rPr>
        <w:t xml:space="preserve"> di concessi</w:t>
      </w:r>
      <w:r w:rsidR="00F36FBC">
        <w:rPr>
          <w:bCs/>
        </w:rPr>
        <w:t>one degli anticipi, ove previsti dal PSR.</w:t>
      </w:r>
    </w:p>
    <w:p w:rsidR="002D3DC2" w:rsidRDefault="002D3DC2" w:rsidP="00EA213D">
      <w:pPr>
        <w:spacing w:before="120"/>
        <w:ind w:right="126"/>
        <w:jc w:val="both"/>
        <w:rPr>
          <w:bCs/>
        </w:rPr>
      </w:pPr>
      <w:r w:rsidRPr="0010209C">
        <w:rPr>
          <w:bCs/>
        </w:rPr>
        <w:t xml:space="preserve">Ai sensi dell’art. </w:t>
      </w:r>
      <w:r w:rsidR="00D83FEA" w:rsidRPr="0010209C">
        <w:rPr>
          <w:bCs/>
        </w:rPr>
        <w:t>42</w:t>
      </w:r>
      <w:r w:rsidRPr="0010209C">
        <w:rPr>
          <w:bCs/>
        </w:rPr>
        <w:t>, paragrafo 2, del Reg.</w:t>
      </w:r>
      <w:r>
        <w:rPr>
          <w:bCs/>
        </w:rPr>
        <w:t xml:space="preserve"> </w:t>
      </w:r>
      <w:r w:rsidR="001B554E">
        <w:rPr>
          <w:bCs/>
        </w:rPr>
        <w:t>(</w:t>
      </w:r>
      <w:r w:rsidR="00D83FEA">
        <w:rPr>
          <w:bCs/>
        </w:rPr>
        <w:t>UE</w:t>
      </w:r>
      <w:r w:rsidR="001B554E">
        <w:rPr>
          <w:bCs/>
        </w:rPr>
        <w:t>)</w:t>
      </w:r>
      <w:r>
        <w:rPr>
          <w:bCs/>
        </w:rPr>
        <w:t xml:space="preserve"> n. </w:t>
      </w:r>
      <w:r w:rsidR="00D83FEA">
        <w:rPr>
          <w:bCs/>
        </w:rPr>
        <w:t>1305/2013</w:t>
      </w:r>
      <w:r>
        <w:rPr>
          <w:bCs/>
        </w:rPr>
        <w:t xml:space="preserve"> è inoltre possibile concedere un anticipo ai Gruppi di Azione Locale. </w:t>
      </w:r>
      <w:r w:rsidR="00D83FEA" w:rsidRPr="00D83FEA">
        <w:rPr>
          <w:bCs/>
        </w:rPr>
        <w:t>I gruppi di azione locale possono chiedere al competente organismo pagatore il versamento di un anticipo se tale possibilità è prevista nel programma di sviluppo rurale. L'importo dell'anticipo è limitato al 50 % del contributo pubblico alle sp</w:t>
      </w:r>
      <w:r w:rsidR="00F36FBC">
        <w:rPr>
          <w:bCs/>
        </w:rPr>
        <w:t xml:space="preserve">ese di gestione e di animazione (sottomisura 19.4). </w:t>
      </w:r>
      <w:r w:rsidRPr="00EF54EA">
        <w:rPr>
          <w:bCs/>
        </w:rPr>
        <w:t xml:space="preserve"> </w:t>
      </w:r>
    </w:p>
    <w:p w:rsidR="00E92C54" w:rsidRDefault="00D83FEA" w:rsidP="00B254CB">
      <w:pPr>
        <w:spacing w:before="120"/>
        <w:ind w:right="126"/>
        <w:jc w:val="both"/>
        <w:rPr>
          <w:bCs/>
        </w:rPr>
      </w:pPr>
      <w:r>
        <w:rPr>
          <w:bCs/>
        </w:rPr>
        <w:t>Nella specifica scheda di Approfondimento per il Leader, sono dettagliate le tipologie di azioni e interventi.</w:t>
      </w:r>
    </w:p>
    <w:p w:rsidR="002D3DC2" w:rsidRPr="00B254CB" w:rsidRDefault="002D3DC2" w:rsidP="00B254CB">
      <w:pPr>
        <w:spacing w:before="120"/>
        <w:ind w:right="126"/>
        <w:jc w:val="both"/>
        <w:rPr>
          <w:bCs/>
        </w:rPr>
      </w:pPr>
    </w:p>
    <w:p w:rsidR="009004BD" w:rsidRPr="00B254CB" w:rsidRDefault="00746DDE" w:rsidP="00EF54EA">
      <w:pPr>
        <w:pStyle w:val="Titolo2"/>
        <w:tabs>
          <w:tab w:val="left" w:pos="720"/>
        </w:tabs>
        <w:ind w:left="720" w:right="126" w:hanging="720"/>
        <w:rPr>
          <w:snapToGrid w:val="0"/>
        </w:rPr>
      </w:pPr>
      <w:bookmarkStart w:id="29" w:name="_Toc432090717"/>
      <w:r>
        <w:rPr>
          <w:snapToGrid w:val="0"/>
        </w:rPr>
        <w:t>3</w:t>
      </w:r>
      <w:r w:rsidR="009004BD" w:rsidRPr="00B254CB">
        <w:rPr>
          <w:snapToGrid w:val="0"/>
        </w:rPr>
        <w:t>.</w:t>
      </w:r>
      <w:r w:rsidR="009F4375">
        <w:rPr>
          <w:snapToGrid w:val="0"/>
        </w:rPr>
        <w:t>1</w:t>
      </w:r>
      <w:r w:rsidR="00767656">
        <w:rPr>
          <w:snapToGrid w:val="0"/>
        </w:rPr>
        <w:t>0</w:t>
      </w:r>
      <w:r w:rsidR="009004BD" w:rsidRPr="00B254CB">
        <w:rPr>
          <w:snapToGrid w:val="0"/>
        </w:rPr>
        <w:t xml:space="preserve"> </w:t>
      </w:r>
      <w:r w:rsidR="009004BD" w:rsidRPr="00B254CB">
        <w:rPr>
          <w:snapToGrid w:val="0"/>
        </w:rPr>
        <w:tab/>
        <w:t>Disposizioni relative alle variazioni in corso d’opera</w:t>
      </w:r>
      <w:bookmarkEnd w:id="29"/>
    </w:p>
    <w:p w:rsidR="009004BD" w:rsidRPr="0076642F" w:rsidRDefault="0076642F" w:rsidP="00273BE4">
      <w:pPr>
        <w:spacing w:before="120"/>
        <w:ind w:right="126"/>
        <w:jc w:val="both"/>
        <w:rPr>
          <w:bCs/>
        </w:rPr>
      </w:pPr>
      <w:r>
        <w:rPr>
          <w:bCs/>
        </w:rPr>
        <w:t xml:space="preserve">Le Autorità di gestione sono tenute a </w:t>
      </w:r>
      <w:r w:rsidR="006C1427">
        <w:rPr>
          <w:bCs/>
        </w:rPr>
        <w:t>disciplinare</w:t>
      </w:r>
      <w:r w:rsidR="00DD12D4">
        <w:rPr>
          <w:bCs/>
        </w:rPr>
        <w:t>,</w:t>
      </w:r>
      <w:r w:rsidR="006C1427">
        <w:rPr>
          <w:bCs/>
        </w:rPr>
        <w:t xml:space="preserve"> </w:t>
      </w:r>
      <w:r>
        <w:rPr>
          <w:bCs/>
        </w:rPr>
        <w:t xml:space="preserve">nei </w:t>
      </w:r>
      <w:r w:rsidR="006C1427">
        <w:rPr>
          <w:bCs/>
        </w:rPr>
        <w:t>rispettivi</w:t>
      </w:r>
      <w:r>
        <w:rPr>
          <w:bCs/>
        </w:rPr>
        <w:t xml:space="preserve"> provvedimenti attuativi</w:t>
      </w:r>
      <w:r w:rsidR="00DD12D4">
        <w:rPr>
          <w:bCs/>
        </w:rPr>
        <w:t>,</w:t>
      </w:r>
      <w:r>
        <w:rPr>
          <w:bCs/>
        </w:rPr>
        <w:t xml:space="preserve"> l</w:t>
      </w:r>
      <w:r w:rsidR="006C1427">
        <w:rPr>
          <w:bCs/>
        </w:rPr>
        <w:t xml:space="preserve">e modalità </w:t>
      </w:r>
      <w:r>
        <w:rPr>
          <w:bCs/>
        </w:rPr>
        <w:t xml:space="preserve">di </w:t>
      </w:r>
      <w:r w:rsidR="006C1427">
        <w:rPr>
          <w:bCs/>
        </w:rPr>
        <w:t>concessione di eventuali</w:t>
      </w:r>
      <w:r>
        <w:rPr>
          <w:bCs/>
        </w:rPr>
        <w:t xml:space="preserve"> varianti ai progetti presentati e le </w:t>
      </w:r>
      <w:r w:rsidR="006C1427">
        <w:rPr>
          <w:bCs/>
        </w:rPr>
        <w:t xml:space="preserve">relative </w:t>
      </w:r>
      <w:r>
        <w:rPr>
          <w:bCs/>
        </w:rPr>
        <w:t>procedure da seguire.</w:t>
      </w:r>
    </w:p>
    <w:p w:rsidR="009004BD" w:rsidRDefault="00117044" w:rsidP="00273BE4">
      <w:pPr>
        <w:spacing w:before="120"/>
        <w:ind w:right="126"/>
        <w:jc w:val="both"/>
        <w:rPr>
          <w:bCs/>
        </w:rPr>
      </w:pPr>
      <w:r w:rsidRPr="00E412B4">
        <w:rPr>
          <w:bCs/>
        </w:rPr>
        <w:t>Fatti salvi i casi espressamente previsti dalla normativa vigente,</w:t>
      </w:r>
      <w:r>
        <w:rPr>
          <w:bCs/>
        </w:rPr>
        <w:t xml:space="preserve"> i</w:t>
      </w:r>
      <w:r w:rsidR="004631BC">
        <w:rPr>
          <w:bCs/>
        </w:rPr>
        <w:t>n linea generale, a</w:t>
      </w:r>
      <w:r w:rsidR="009004BD">
        <w:rPr>
          <w:bCs/>
        </w:rPr>
        <w:t>l fine di garantire una maggiore trasparenza</w:t>
      </w:r>
      <w:r w:rsidR="004631BC">
        <w:rPr>
          <w:bCs/>
        </w:rPr>
        <w:t>,</w:t>
      </w:r>
      <w:r w:rsidR="009004BD">
        <w:rPr>
          <w:bCs/>
        </w:rPr>
        <w:t xml:space="preserve"> efficacia ed efficienza della spesa</w:t>
      </w:r>
      <w:r w:rsidR="004631BC">
        <w:rPr>
          <w:bCs/>
        </w:rPr>
        <w:t>,</w:t>
      </w:r>
      <w:r w:rsidR="009004BD">
        <w:rPr>
          <w:bCs/>
        </w:rPr>
        <w:t xml:space="preserve"> nonché certezza dei tempi </w:t>
      </w:r>
      <w:r w:rsidR="004631BC">
        <w:rPr>
          <w:bCs/>
        </w:rPr>
        <w:t>di</w:t>
      </w:r>
      <w:r w:rsidR="009004BD">
        <w:rPr>
          <w:bCs/>
        </w:rPr>
        <w:t xml:space="preserve"> realizzazione delle iniziative</w:t>
      </w:r>
      <w:r w:rsidR="004631BC">
        <w:rPr>
          <w:bCs/>
        </w:rPr>
        <w:t xml:space="preserve"> finanziate</w:t>
      </w:r>
      <w:r w:rsidR="00A0198A">
        <w:rPr>
          <w:bCs/>
        </w:rPr>
        <w:t>,</w:t>
      </w:r>
      <w:r w:rsidR="00A0198A" w:rsidRPr="00A0198A">
        <w:rPr>
          <w:bCs/>
        </w:rPr>
        <w:t xml:space="preserve"> </w:t>
      </w:r>
      <w:r w:rsidR="00A0198A">
        <w:rPr>
          <w:bCs/>
        </w:rPr>
        <w:t xml:space="preserve">è auspicabile ridurre al minimo </w:t>
      </w:r>
      <w:r w:rsidR="006C1427">
        <w:rPr>
          <w:bCs/>
        </w:rPr>
        <w:t>tali</w:t>
      </w:r>
      <w:r w:rsidR="00A0198A">
        <w:rPr>
          <w:bCs/>
        </w:rPr>
        <w:t xml:space="preserve"> varianti</w:t>
      </w:r>
      <w:r w:rsidR="006B399A">
        <w:rPr>
          <w:bCs/>
        </w:rPr>
        <w:t>, anche per evitare una forma di concorrenza sleale rispetto ai progetti non selezionati</w:t>
      </w:r>
      <w:r w:rsidR="009004BD">
        <w:rPr>
          <w:bCs/>
        </w:rPr>
        <w:t>.</w:t>
      </w:r>
    </w:p>
    <w:p w:rsidR="00712962" w:rsidRPr="00A01342" w:rsidRDefault="00712962" w:rsidP="00712962">
      <w:pPr>
        <w:spacing w:before="120"/>
        <w:ind w:right="126"/>
        <w:jc w:val="both"/>
        <w:rPr>
          <w:bCs/>
        </w:rPr>
      </w:pPr>
      <w:r w:rsidRPr="00A01342">
        <w:rPr>
          <w:bCs/>
        </w:rPr>
        <w:t xml:space="preserve">Sono da considerarsi varianti tutti i cambiamenti al progetto originale che </w:t>
      </w:r>
      <w:r w:rsidR="000B06CE" w:rsidRPr="00A01342">
        <w:rPr>
          <w:bCs/>
        </w:rPr>
        <w:t xml:space="preserve">non </w:t>
      </w:r>
      <w:r w:rsidRPr="00A01342">
        <w:rPr>
          <w:bCs/>
        </w:rPr>
        <w:t>comportino modifiche agli obiettivi ed ai parametri che hanno reso l'iniziativa finanziabile</w:t>
      </w:r>
      <w:r w:rsidR="00290737" w:rsidRPr="00A01342">
        <w:rPr>
          <w:bCs/>
        </w:rPr>
        <w:t xml:space="preserve"> tali da inficiare la finanziabilità stessa</w:t>
      </w:r>
      <w:r w:rsidR="00B92444" w:rsidRPr="00A01342">
        <w:rPr>
          <w:bCs/>
        </w:rPr>
        <w:t xml:space="preserve">. </w:t>
      </w:r>
      <w:r w:rsidR="00DE6C57" w:rsidRPr="00A01342">
        <w:rPr>
          <w:bCs/>
        </w:rPr>
        <w:t>Nel rispetto di tale condizione, s</w:t>
      </w:r>
      <w:r w:rsidR="00B92444" w:rsidRPr="00A01342">
        <w:rPr>
          <w:bCs/>
        </w:rPr>
        <w:t>ono considerate varianti</w:t>
      </w:r>
      <w:r w:rsidRPr="00A01342">
        <w:rPr>
          <w:bCs/>
        </w:rPr>
        <w:t xml:space="preserve"> in particolare: cambio di beneficiario, cambio di sede dell'investimento, modifiche tecniche sostanziali delle opere approvate, modifica della tipologia di opere approvate; </w:t>
      </w:r>
      <w:r w:rsidR="006C1427" w:rsidRPr="00A01342">
        <w:rPr>
          <w:bCs/>
        </w:rPr>
        <w:t>l</w:t>
      </w:r>
      <w:r w:rsidR="0076642F" w:rsidRPr="00A01342">
        <w:rPr>
          <w:bCs/>
        </w:rPr>
        <w:t>e varianti</w:t>
      </w:r>
      <w:r w:rsidR="004C735F" w:rsidRPr="00A01342">
        <w:rPr>
          <w:bCs/>
        </w:rPr>
        <w:t>, di norma,</w:t>
      </w:r>
      <w:r w:rsidR="0076642F" w:rsidRPr="00A01342">
        <w:rPr>
          <w:bCs/>
        </w:rPr>
        <w:t xml:space="preserve"> devono essere preventivamente richieste</w:t>
      </w:r>
      <w:r w:rsidRPr="00A01342">
        <w:rPr>
          <w:bCs/>
        </w:rPr>
        <w:t>.</w:t>
      </w:r>
      <w:r w:rsidR="00D83FEA" w:rsidRPr="00A01342">
        <w:rPr>
          <w:bCs/>
        </w:rPr>
        <w:t xml:space="preserve"> Nella valutazione generale delle varianti e delle relative disposizioni procedurali adottate da ciascuna Autorità di Gestione, particolare attenzione andrà rivolta al mantenimento dei requisiti che hanno determinato l’approvazione del progetto in base ai criteri di selezione</w:t>
      </w:r>
      <w:r w:rsidR="009F4375" w:rsidRPr="00A01342">
        <w:rPr>
          <w:bCs/>
        </w:rPr>
        <w:t>.</w:t>
      </w:r>
    </w:p>
    <w:p w:rsidR="0076642F" w:rsidRDefault="00712962" w:rsidP="00712962">
      <w:pPr>
        <w:spacing w:before="120"/>
        <w:ind w:right="126"/>
        <w:jc w:val="both"/>
        <w:rPr>
          <w:bCs/>
        </w:rPr>
      </w:pPr>
      <w:r w:rsidRPr="00A01342">
        <w:rPr>
          <w:bCs/>
        </w:rPr>
        <w:t xml:space="preserve">Di norma non sono considerate varianti al progetto originario le </w:t>
      </w:r>
      <w:r w:rsidRPr="00A01342" w:rsidDel="00712962">
        <w:rPr>
          <w:bCs/>
        </w:rPr>
        <w:t xml:space="preserve"> </w:t>
      </w:r>
      <w:r w:rsidR="0076642F" w:rsidRPr="00A01342">
        <w:rPr>
          <w:bCs/>
        </w:rPr>
        <w:t>modifiche di dettaglio o soluzioni tecniche migliorative</w:t>
      </w:r>
      <w:r w:rsidR="006C1427" w:rsidRPr="00A01342">
        <w:rPr>
          <w:bCs/>
        </w:rPr>
        <w:t>,</w:t>
      </w:r>
      <w:r w:rsidR="0076642F" w:rsidRPr="00A01342">
        <w:rPr>
          <w:bCs/>
        </w:rPr>
        <w:t xml:space="preserve"> purch</w:t>
      </w:r>
      <w:r w:rsidR="00150B64" w:rsidRPr="00A01342">
        <w:rPr>
          <w:bCs/>
        </w:rPr>
        <w:t>é</w:t>
      </w:r>
      <w:r w:rsidR="0076642F" w:rsidRPr="00A01342">
        <w:rPr>
          <w:bCs/>
        </w:rPr>
        <w:t xml:space="preserve"> contenute in una limitata percentuale di spesa</w:t>
      </w:r>
      <w:r w:rsidR="00F543F8" w:rsidRPr="00A01342">
        <w:t xml:space="preserve"> d</w:t>
      </w:r>
      <w:r w:rsidR="00F543F8" w:rsidRPr="00A01342">
        <w:rPr>
          <w:bCs/>
        </w:rPr>
        <w:t>efinita da parte dell’Autorità di gestione nell’ambito delle disposizioni attuative di ciascun Psr</w:t>
      </w:r>
      <w:r w:rsidR="006C1427" w:rsidRPr="00A01342">
        <w:rPr>
          <w:bCs/>
        </w:rPr>
        <w:t xml:space="preserve">, </w:t>
      </w:r>
      <w:r w:rsidR="00B97A57" w:rsidRPr="00A01342">
        <w:rPr>
          <w:bCs/>
        </w:rPr>
        <w:t xml:space="preserve">così come </w:t>
      </w:r>
      <w:r w:rsidR="00F543F8" w:rsidRPr="00A01342">
        <w:rPr>
          <w:bCs/>
        </w:rPr>
        <w:t xml:space="preserve">ad esempio </w:t>
      </w:r>
      <w:r w:rsidR="00237A82" w:rsidRPr="00A01342">
        <w:rPr>
          <w:bCs/>
        </w:rPr>
        <w:t xml:space="preserve">i </w:t>
      </w:r>
      <w:r w:rsidR="006C1427" w:rsidRPr="00A01342">
        <w:rPr>
          <w:bCs/>
        </w:rPr>
        <w:t>cambi di preventi</w:t>
      </w:r>
      <w:r w:rsidR="00B97A57" w:rsidRPr="00A01342">
        <w:rPr>
          <w:bCs/>
        </w:rPr>
        <w:t>vo</w:t>
      </w:r>
      <w:r w:rsidR="006C1427" w:rsidRPr="00A01342">
        <w:rPr>
          <w:bCs/>
        </w:rPr>
        <w:t>, purch</w:t>
      </w:r>
      <w:r w:rsidR="00150B64" w:rsidRPr="00A01342">
        <w:rPr>
          <w:bCs/>
        </w:rPr>
        <w:t>é</w:t>
      </w:r>
      <w:r w:rsidR="006C1427" w:rsidRPr="00A01342">
        <w:rPr>
          <w:bCs/>
        </w:rPr>
        <w:t xml:space="preserve"> sia </w:t>
      </w:r>
      <w:r w:rsidR="00B97A57" w:rsidRPr="00A01342">
        <w:rPr>
          <w:bCs/>
        </w:rPr>
        <w:t xml:space="preserve">garantita </w:t>
      </w:r>
      <w:r w:rsidR="006C1427" w:rsidRPr="00A01342">
        <w:rPr>
          <w:bCs/>
        </w:rPr>
        <w:t>la possibilità di identificare il bene e fermo restando la spesa ammessa in sede di istruttoria</w:t>
      </w:r>
      <w:r w:rsidR="00B97A57" w:rsidRPr="00A01342">
        <w:rPr>
          <w:bCs/>
        </w:rPr>
        <w:t>.</w:t>
      </w:r>
      <w:r w:rsidR="00237A82" w:rsidRPr="00237A82">
        <w:rPr>
          <w:rFonts w:ascii="Tahoma" w:hAnsi="Tahoma" w:cs="Tahoma"/>
          <w:sz w:val="22"/>
          <w:szCs w:val="22"/>
        </w:rPr>
        <w:t xml:space="preserve"> </w:t>
      </w:r>
    </w:p>
    <w:p w:rsidR="004E5B8E" w:rsidRDefault="004E5B8E" w:rsidP="000037CE">
      <w:pPr>
        <w:spacing w:before="120"/>
        <w:ind w:right="125"/>
        <w:jc w:val="both"/>
        <w:rPr>
          <w:snapToGrid w:val="0"/>
        </w:rPr>
      </w:pPr>
    </w:p>
    <w:p w:rsidR="002E1F97" w:rsidRPr="00DD5F92" w:rsidRDefault="00746DDE" w:rsidP="00273BE4">
      <w:pPr>
        <w:pStyle w:val="Titolo2"/>
        <w:tabs>
          <w:tab w:val="left" w:pos="720"/>
        </w:tabs>
        <w:ind w:left="720" w:right="126" w:hanging="720"/>
        <w:rPr>
          <w:snapToGrid w:val="0"/>
        </w:rPr>
      </w:pPr>
      <w:bookmarkStart w:id="30" w:name="_Toc432090718"/>
      <w:r>
        <w:rPr>
          <w:snapToGrid w:val="0"/>
        </w:rPr>
        <w:t>3</w:t>
      </w:r>
      <w:r w:rsidR="002E1F97" w:rsidRPr="00C6076C">
        <w:rPr>
          <w:snapToGrid w:val="0"/>
        </w:rPr>
        <w:t>.</w:t>
      </w:r>
      <w:r w:rsidR="000E3CD6">
        <w:rPr>
          <w:snapToGrid w:val="0"/>
        </w:rPr>
        <w:t>1</w:t>
      </w:r>
      <w:r w:rsidR="00767656">
        <w:rPr>
          <w:snapToGrid w:val="0"/>
        </w:rPr>
        <w:t>1</w:t>
      </w:r>
      <w:r w:rsidR="002E1F97" w:rsidRPr="00C6076C">
        <w:rPr>
          <w:snapToGrid w:val="0"/>
        </w:rPr>
        <w:tab/>
        <w:t>Operazioni realizzate da Enti Pubblici</w:t>
      </w:r>
      <w:r w:rsidR="00DD5F92">
        <w:rPr>
          <w:snapToGrid w:val="0"/>
        </w:rPr>
        <w:t xml:space="preserve"> </w:t>
      </w:r>
      <w:r w:rsidR="00DD5F92" w:rsidRPr="00290737">
        <w:rPr>
          <w:snapToGrid w:val="0"/>
        </w:rPr>
        <w:t>e Organismi di diritto pubblico</w:t>
      </w:r>
      <w:bookmarkEnd w:id="30"/>
    </w:p>
    <w:p w:rsidR="002C6843" w:rsidRPr="00A01342" w:rsidRDefault="002C6843" w:rsidP="002C6843">
      <w:pPr>
        <w:spacing w:before="120"/>
        <w:ind w:right="126"/>
        <w:jc w:val="both"/>
      </w:pPr>
      <w:r w:rsidRPr="00A01342">
        <w:t>Nel caso di operazioni realizzate da Enti Pubblici</w:t>
      </w:r>
      <w:r w:rsidR="00EA1E71" w:rsidRPr="00A01342">
        <w:t xml:space="preserve"> ed</w:t>
      </w:r>
      <w:r w:rsidR="00EA1E71" w:rsidRPr="00A01342">
        <w:rPr>
          <w:snapToGrid w:val="0"/>
        </w:rPr>
        <w:t xml:space="preserve">  Organismi di diritto pubblico</w:t>
      </w:r>
      <w:r w:rsidRPr="00A01342">
        <w:t>, deve essere garantito il rispetto della normativa generale sugli appalti, di cui al Decreto Legislativo n. 163/2006 e successive modifiche ed integr</w:t>
      </w:r>
      <w:r w:rsidR="008859B6" w:rsidRPr="00A01342">
        <w:t>azioni e della</w:t>
      </w:r>
      <w:r w:rsidR="009B598F" w:rsidRPr="00A01342">
        <w:t xml:space="preserve"> Direttiva 2014/24/UE del Parlamento Europeo e del Consiglio</w:t>
      </w:r>
      <w:r w:rsidR="008859B6" w:rsidRPr="00A01342">
        <w:t>.</w:t>
      </w:r>
      <w:r w:rsidR="009B598F" w:rsidRPr="00A01342">
        <w:rPr>
          <w:rFonts w:ascii="Calibri" w:hAnsi="Calibri"/>
          <w:sz w:val="20"/>
          <w:szCs w:val="20"/>
        </w:rPr>
        <w:t xml:space="preserve"> </w:t>
      </w:r>
    </w:p>
    <w:p w:rsidR="002C6843" w:rsidRPr="00A01342" w:rsidRDefault="002C6843" w:rsidP="002C6843">
      <w:pPr>
        <w:spacing w:before="120"/>
        <w:ind w:right="126"/>
        <w:jc w:val="both"/>
      </w:pPr>
      <w:r w:rsidRPr="00A01342">
        <w:t>Ai fini dell’ammissibilità della spesa per l’esecuzione di opere, servizi e forniture, gli Enti pubblici  possono utilizzare:</w:t>
      </w:r>
    </w:p>
    <w:p w:rsidR="002C6843" w:rsidRPr="00A01342" w:rsidRDefault="002C6843" w:rsidP="002C6843">
      <w:pPr>
        <w:tabs>
          <w:tab w:val="left" w:pos="540"/>
        </w:tabs>
        <w:spacing w:before="120"/>
        <w:ind w:left="540" w:right="126" w:hanging="540"/>
        <w:jc w:val="both"/>
      </w:pPr>
      <w:r w:rsidRPr="00A01342">
        <w:t>-</w:t>
      </w:r>
      <w:r w:rsidRPr="00A01342">
        <w:tab/>
        <w:t>contratto di affidamento nell’osservanza dei limiti della soglia comunitaria;</w:t>
      </w:r>
    </w:p>
    <w:p w:rsidR="002C6843" w:rsidRPr="00A01342" w:rsidRDefault="002C6843" w:rsidP="002C6843">
      <w:pPr>
        <w:tabs>
          <w:tab w:val="left" w:pos="540"/>
        </w:tabs>
        <w:spacing w:before="120"/>
        <w:ind w:left="540" w:right="126" w:hanging="540"/>
        <w:jc w:val="both"/>
      </w:pPr>
      <w:r w:rsidRPr="00A01342">
        <w:t>-</w:t>
      </w:r>
      <w:r w:rsidRPr="00A01342">
        <w:tab/>
        <w:t>contratto di affidamento a seguito di gara ad evidenza pubblica;</w:t>
      </w:r>
    </w:p>
    <w:p w:rsidR="002C6843" w:rsidRPr="00A01342" w:rsidRDefault="002C6843" w:rsidP="002C6843">
      <w:pPr>
        <w:tabs>
          <w:tab w:val="left" w:pos="540"/>
        </w:tabs>
        <w:spacing w:before="120"/>
        <w:ind w:left="540" w:right="126" w:hanging="540"/>
        <w:jc w:val="both"/>
      </w:pPr>
      <w:r w:rsidRPr="00A01342">
        <w:t xml:space="preserve">- </w:t>
      </w:r>
      <w:r w:rsidRPr="00A01342">
        <w:tab/>
        <w:t>contratto di affidamento diretto “in house providing”;</w:t>
      </w:r>
    </w:p>
    <w:p w:rsidR="002C6843" w:rsidRPr="00A01342" w:rsidRDefault="002C6843" w:rsidP="002C6843">
      <w:pPr>
        <w:tabs>
          <w:tab w:val="left" w:pos="540"/>
        </w:tabs>
        <w:spacing w:before="120"/>
        <w:ind w:left="540" w:right="126" w:hanging="540"/>
        <w:jc w:val="both"/>
      </w:pPr>
      <w:r w:rsidRPr="00A01342">
        <w:t>-</w:t>
      </w:r>
      <w:r w:rsidRPr="00A01342">
        <w:tab/>
        <w:t>convenzione con altra Amministrazione pubblica che si impegna ad eseguire i lavori.</w:t>
      </w:r>
    </w:p>
    <w:p w:rsidR="002C6843" w:rsidRPr="00A01342" w:rsidRDefault="002C6843" w:rsidP="002C6843">
      <w:pPr>
        <w:spacing w:before="120"/>
        <w:ind w:right="126"/>
        <w:jc w:val="both"/>
      </w:pPr>
      <w:r w:rsidRPr="00A01342">
        <w:t xml:space="preserve">Nel caso in cui la scelta dell’Ente ricada </w:t>
      </w:r>
      <w:r w:rsidR="009F4375" w:rsidRPr="00A01342">
        <w:t>ne</w:t>
      </w:r>
      <w:r w:rsidRPr="00A01342">
        <w:t>ll’affidamento “in house providing</w:t>
      </w:r>
      <w:r w:rsidR="003945E5" w:rsidRPr="00A01342">
        <w:t>”</w:t>
      </w:r>
      <w:r w:rsidR="00DD5F92" w:rsidRPr="00A01342">
        <w:t xml:space="preserve">, </w:t>
      </w:r>
      <w:r w:rsidRPr="00A01342">
        <w:t>per la legittimità dello stesso è necessario che concorrano i se</w:t>
      </w:r>
      <w:r w:rsidR="009F4375" w:rsidRPr="00A01342">
        <w:t>guenti elementi, così come previsto dalla su indicata direttiva:</w:t>
      </w:r>
    </w:p>
    <w:p w:rsidR="002C6843" w:rsidRPr="00A01342" w:rsidRDefault="002C6843" w:rsidP="0093020D">
      <w:pPr>
        <w:numPr>
          <w:ilvl w:val="0"/>
          <w:numId w:val="13"/>
        </w:numPr>
        <w:tabs>
          <w:tab w:val="clear" w:pos="720"/>
          <w:tab w:val="num" w:pos="540"/>
        </w:tabs>
        <w:spacing w:before="120"/>
        <w:ind w:left="540" w:right="126" w:hanging="540"/>
        <w:jc w:val="both"/>
      </w:pPr>
      <w:r w:rsidRPr="00A01342">
        <w:t>l’amministrazione aggiudicatrice eserciti sul soggetto affidatario un “controllo analogo” a quello esercitato sui propri servizi;</w:t>
      </w:r>
    </w:p>
    <w:p w:rsidR="009544FC" w:rsidRPr="00A01342" w:rsidRDefault="002C6843" w:rsidP="002C6843">
      <w:pPr>
        <w:numPr>
          <w:ilvl w:val="0"/>
          <w:numId w:val="13"/>
        </w:numPr>
        <w:tabs>
          <w:tab w:val="clear" w:pos="720"/>
          <w:tab w:val="num" w:pos="540"/>
        </w:tabs>
        <w:spacing w:before="120"/>
        <w:ind w:left="540" w:right="126" w:hanging="540"/>
        <w:jc w:val="both"/>
      </w:pPr>
      <w:r w:rsidRPr="00A01342">
        <w:t>il soggetto affidatario svolga più dell’80% delle prestazioni effettuate a favore dell’amministrazione aggiudicatrice o di un altro ente pubblico controllato dalla prima;</w:t>
      </w:r>
    </w:p>
    <w:p w:rsidR="009544FC" w:rsidRPr="00A01342" w:rsidRDefault="009544FC" w:rsidP="002C6843">
      <w:pPr>
        <w:numPr>
          <w:ilvl w:val="0"/>
          <w:numId w:val="13"/>
        </w:numPr>
        <w:tabs>
          <w:tab w:val="clear" w:pos="720"/>
          <w:tab w:val="num" w:pos="540"/>
        </w:tabs>
        <w:spacing w:before="120"/>
        <w:ind w:left="540" w:right="126" w:hanging="540"/>
        <w:jc w:val="both"/>
      </w:pPr>
      <w:r w:rsidRPr="00A01342">
        <w:rPr>
          <w:bCs/>
        </w:rPr>
        <w:t>nella persona giuridica controllata non vi è alcuna partecipazione diretta di capitali privati, ad eccezione di forme di partecipazione private che non comportano controllo o potere di veto e che non esercitano un'influenza dominante sulla medesima persona giuridica</w:t>
      </w:r>
      <w:r w:rsidRPr="00A01342">
        <w:t>.</w:t>
      </w:r>
    </w:p>
    <w:p w:rsidR="00290737" w:rsidRPr="00A01342" w:rsidRDefault="00290737" w:rsidP="002C6843">
      <w:pPr>
        <w:spacing w:before="120"/>
        <w:ind w:right="126"/>
        <w:jc w:val="both"/>
      </w:pPr>
      <w:r w:rsidRPr="00A01342">
        <w:t>In tutte  le procedure di selezione  dei fornitori  gli enti pubblici dovranno fornire  garanzie  in merito alla ragionevolezza dei costi, compreso il caso di ricorso a società in-house.  In particolare nel caso degli ”in house providing” tali garanzie  dovranno fare riferimento alla ragionevolezza dei costi di p</w:t>
      </w:r>
      <w:r w:rsidR="002F1803" w:rsidRPr="00A01342">
        <w:t>ersonale sostenuti direttamente,</w:t>
      </w:r>
      <w:r w:rsidRPr="00A01342">
        <w:t xml:space="preserve"> alla congruità delle spese generali, e al rispetto delle procedure di selezione di fornitori  terzi di beni e servizi.</w:t>
      </w:r>
      <w:r w:rsidR="001A2A7D" w:rsidRPr="00A01342">
        <w:t xml:space="preserve"> </w:t>
      </w:r>
      <w:r w:rsidR="00BD18EA" w:rsidRPr="00A01342">
        <w:t>Per qua</w:t>
      </w:r>
      <w:r w:rsidR="001A2A7D" w:rsidRPr="00A01342">
        <w:t>nto riguarda la qualità dei ser</w:t>
      </w:r>
      <w:r w:rsidR="00BD18EA" w:rsidRPr="00A01342">
        <w:t xml:space="preserve">vizi offerti dalle strutture in-house, questi dovranno essere avvicinati (in termini di qualità, profili professionali e costi) alle migliori esperienze di mercato. </w:t>
      </w:r>
    </w:p>
    <w:p w:rsidR="002C6843" w:rsidRPr="00A01342" w:rsidRDefault="002C6843" w:rsidP="002C6843">
      <w:pPr>
        <w:spacing w:before="120"/>
        <w:ind w:right="126"/>
        <w:jc w:val="both"/>
      </w:pPr>
      <w:r w:rsidRPr="00A01342">
        <w:t>Il rispetto di tali disposizioni deve essere garantito anche nella fase di scelta del soggetto incaricato della progettazione e direzione lavori.</w:t>
      </w:r>
    </w:p>
    <w:p w:rsidR="002C6843" w:rsidRDefault="002C6843" w:rsidP="002C6843">
      <w:pPr>
        <w:spacing w:before="120"/>
        <w:ind w:right="126"/>
        <w:jc w:val="both"/>
      </w:pPr>
      <w:r w:rsidRPr="00A01342">
        <w:t>Inoltre, per tutte le spese sostenute devono essere rispettate le norme comunitarie sulla pubblicità dell’appalto e sulla effettiva concorrenza fra più fornitori</w:t>
      </w:r>
      <w:r w:rsidR="00921AE4" w:rsidRPr="00A01342">
        <w:t>, nonché rispettare le norme su varianti, affidamenti di servizi supplementari e rispetto dei termini/proroghe.</w:t>
      </w:r>
    </w:p>
    <w:p w:rsidR="002C6843" w:rsidRDefault="002C6843" w:rsidP="002C6843">
      <w:pPr>
        <w:spacing w:before="120"/>
        <w:ind w:right="126"/>
        <w:jc w:val="both"/>
        <w:rPr>
          <w:snapToGrid w:val="0"/>
        </w:rPr>
      </w:pPr>
      <w:r>
        <w:rPr>
          <w:snapToGrid w:val="0"/>
        </w:rPr>
        <w:t xml:space="preserve">In certi casi, gli enti pubblici </w:t>
      </w:r>
      <w:r w:rsidRPr="00716DAA">
        <w:rPr>
          <w:snapToGrid w:val="0"/>
        </w:rPr>
        <w:t>possono realizzare direttamente alcune operazioni, ascrivibili alla categoria dei lavori in economia</w:t>
      </w:r>
      <w:r w:rsidR="003945E5">
        <w:rPr>
          <w:snapToGrid w:val="0"/>
          <w:color w:val="FF0000"/>
        </w:rPr>
        <w:t>.</w:t>
      </w:r>
      <w:r w:rsidRPr="00716DAA">
        <w:rPr>
          <w:snapToGrid w:val="0"/>
          <w:color w:val="FF0000"/>
        </w:rPr>
        <w:t xml:space="preserve"> </w:t>
      </w:r>
    </w:p>
    <w:p w:rsidR="002C6843" w:rsidRDefault="002C6843" w:rsidP="002C6843">
      <w:pPr>
        <w:spacing w:before="120"/>
        <w:ind w:right="126"/>
        <w:jc w:val="both"/>
        <w:rPr>
          <w:snapToGrid w:val="0"/>
        </w:rPr>
      </w:pPr>
      <w:r>
        <w:rPr>
          <w:snapToGrid w:val="0"/>
        </w:rPr>
        <w:t xml:space="preserve">Rientrano in tale categoria di spesa i lavori eseguiti direttamente da enti pubblici, i quali, anziché rivolgersi ad un’impresa organizzata, si assumono l’onere di realizzare, in tutto o in parte, le opere connesse ad investimenti fisici avvalendosi di personale e mezzi propri. </w:t>
      </w:r>
    </w:p>
    <w:p w:rsidR="002C6843" w:rsidRDefault="002C6843" w:rsidP="002C6843">
      <w:pPr>
        <w:spacing w:before="120"/>
        <w:ind w:right="126"/>
        <w:jc w:val="both"/>
        <w:rPr>
          <w:snapToGrid w:val="0"/>
        </w:rPr>
      </w:pPr>
      <w:r>
        <w:rPr>
          <w:snapToGrid w:val="0"/>
        </w:rPr>
        <w:t>In questo caso, affinché le relative spese possano essere considerate ammissibili, l’ente pubblico che le sostiene assicura il rispetto della normativa comunitaria e nazionale sugli appalti e adotta ogni iniziativa volta a garantire la massima trasparenza nelle fasi di progettazione e realizzazione degli interventi, nonché di contabil</w:t>
      </w:r>
      <w:r w:rsidR="00510652">
        <w:rPr>
          <w:snapToGrid w:val="0"/>
        </w:rPr>
        <w:t xml:space="preserve">izzazione delle spese sostenute </w:t>
      </w:r>
      <w:r w:rsidR="00510652" w:rsidRPr="00107A3F">
        <w:rPr>
          <w:snapToGrid w:val="0"/>
        </w:rPr>
        <w:t xml:space="preserve">(p.e. </w:t>
      </w:r>
      <w:r w:rsidR="00510652" w:rsidRPr="00107A3F">
        <w:rPr>
          <w:i/>
          <w:snapToGrid w:val="0"/>
        </w:rPr>
        <w:t>timesheet</w:t>
      </w:r>
      <w:r w:rsidR="00107A3F" w:rsidRPr="00107A3F">
        <w:rPr>
          <w:snapToGrid w:val="0"/>
        </w:rPr>
        <w:t>)</w:t>
      </w:r>
      <w:r w:rsidR="00107A3F">
        <w:rPr>
          <w:snapToGrid w:val="0"/>
        </w:rPr>
        <w:t>.</w:t>
      </w:r>
    </w:p>
    <w:p w:rsidR="00B72EF4" w:rsidRDefault="004D492D" w:rsidP="002C6843">
      <w:pPr>
        <w:spacing w:before="120"/>
        <w:ind w:right="126"/>
        <w:jc w:val="both"/>
        <w:rPr>
          <w:snapToGrid w:val="0"/>
        </w:rPr>
      </w:pPr>
      <w:r>
        <w:rPr>
          <w:snapToGrid w:val="0"/>
        </w:rPr>
        <w:lastRenderedPageBreak/>
        <w:t xml:space="preserve">Nel caso </w:t>
      </w:r>
      <w:r w:rsidR="001663B0">
        <w:rPr>
          <w:snapToGrid w:val="0"/>
        </w:rPr>
        <w:t xml:space="preserve">di </w:t>
      </w:r>
      <w:r>
        <w:rPr>
          <w:snapToGrid w:val="0"/>
        </w:rPr>
        <w:t xml:space="preserve">provvedimenti di concessione ad Enti pubblici per attività per le quali si rende necessario  far ricorso a procedure di gara, l’importo </w:t>
      </w:r>
      <w:r w:rsidR="008B7D1D" w:rsidRPr="008768FD">
        <w:rPr>
          <w:snapToGrid w:val="0"/>
        </w:rPr>
        <w:t>liquidabile</w:t>
      </w:r>
      <w:r w:rsidR="008B7D1D">
        <w:rPr>
          <w:snapToGrid w:val="0"/>
        </w:rPr>
        <w:t xml:space="preserve"> </w:t>
      </w:r>
      <w:r>
        <w:rPr>
          <w:snapToGrid w:val="0"/>
        </w:rPr>
        <w:t xml:space="preserve"> da parte delle Autorità di gestione dovrà essere quello risultante dopo l’espletamento della gara; in tal caso l’erogazione degli anticipi sarà </w:t>
      </w:r>
      <w:r w:rsidR="001663B0">
        <w:rPr>
          <w:snapToGrid w:val="0"/>
        </w:rPr>
        <w:t>commisurata all’importo definitivo.</w:t>
      </w:r>
    </w:p>
    <w:p w:rsidR="007016E2" w:rsidRDefault="003F0CE1" w:rsidP="002F1803">
      <w:pPr>
        <w:spacing w:before="120"/>
        <w:ind w:right="125"/>
        <w:jc w:val="both"/>
        <w:rPr>
          <w:bCs/>
          <w:iCs/>
        </w:rPr>
      </w:pPr>
      <w:r w:rsidRPr="003F0CE1">
        <w:rPr>
          <w:bCs/>
          <w:iCs/>
        </w:rPr>
        <w:t>Si ricorda infine che</w:t>
      </w:r>
      <w:r w:rsidR="007016E2">
        <w:rPr>
          <w:bCs/>
          <w:iCs/>
        </w:rPr>
        <w:t xml:space="preserve">, in base a quanto previsto dall’articolo 32, </w:t>
      </w:r>
      <w:r w:rsidR="00D739E2">
        <w:rPr>
          <w:bCs/>
          <w:iCs/>
        </w:rPr>
        <w:t>comma</w:t>
      </w:r>
      <w:r w:rsidR="007016E2">
        <w:rPr>
          <w:bCs/>
          <w:iCs/>
        </w:rPr>
        <w:t xml:space="preserve"> 1, del </w:t>
      </w:r>
      <w:r w:rsidRPr="003F0CE1">
        <w:rPr>
          <w:bCs/>
          <w:iCs/>
        </w:rPr>
        <w:t xml:space="preserve">Decreto Legislativo n. 163/2006, le norme in materia di appalti </w:t>
      </w:r>
      <w:r>
        <w:rPr>
          <w:bCs/>
          <w:iCs/>
        </w:rPr>
        <w:t xml:space="preserve">pubblici </w:t>
      </w:r>
      <w:r w:rsidR="00D739E2">
        <w:rPr>
          <w:bCs/>
          <w:iCs/>
        </w:rPr>
        <w:t>si applicano</w:t>
      </w:r>
      <w:r>
        <w:rPr>
          <w:bCs/>
          <w:iCs/>
        </w:rPr>
        <w:t>, in alcuni casi specifici</w:t>
      </w:r>
      <w:r w:rsidR="00032D8E">
        <w:rPr>
          <w:bCs/>
          <w:iCs/>
        </w:rPr>
        <w:t xml:space="preserve">, </w:t>
      </w:r>
      <w:r w:rsidR="00604D84">
        <w:rPr>
          <w:bCs/>
          <w:iCs/>
        </w:rPr>
        <w:t>anche ai soggetti</w:t>
      </w:r>
      <w:r>
        <w:rPr>
          <w:bCs/>
          <w:iCs/>
        </w:rPr>
        <w:t xml:space="preserve"> privati</w:t>
      </w:r>
      <w:r w:rsidR="00604D84">
        <w:rPr>
          <w:bCs/>
          <w:iCs/>
        </w:rPr>
        <w:t xml:space="preserve"> o stazioni appaltanti private</w:t>
      </w:r>
      <w:r>
        <w:rPr>
          <w:bCs/>
          <w:iCs/>
        </w:rPr>
        <w:t>.</w:t>
      </w:r>
      <w:r w:rsidR="00032D8E">
        <w:rPr>
          <w:bCs/>
          <w:iCs/>
        </w:rPr>
        <w:t xml:space="preserve"> Sarà quindi necessario individuare i casi in cui la normativa è di applicazione (per esempio, tramite un’apposita check-list), garantendone il rispetto nei casi previsti.</w:t>
      </w:r>
    </w:p>
    <w:p w:rsidR="000A7B31" w:rsidRPr="000A7B31" w:rsidRDefault="000A7B31" w:rsidP="002F1803">
      <w:pPr>
        <w:spacing w:before="120"/>
        <w:ind w:right="125"/>
        <w:jc w:val="both"/>
        <w:rPr>
          <w:bCs/>
          <w:i/>
          <w:iCs/>
        </w:rPr>
      </w:pPr>
      <w:r w:rsidRPr="000A7B31">
        <w:t>Fatto salvo quanto diversamente disposto dalle Autorità di gestione dei singoli programmi,  per la misura 7, qualora le Regioni/Province Autonome titolari dei programmi siano i beneficiari degli interventi, ai fini della erogazione dei finanziamenti possono essere individuati, quali destinatari del pagamento, i soggetti selezionati per la fornitura dei servizi.</w:t>
      </w:r>
    </w:p>
    <w:p w:rsidR="00E864B5" w:rsidRPr="008D04DC" w:rsidRDefault="00746DDE" w:rsidP="00273BE4">
      <w:pPr>
        <w:pStyle w:val="Titolo2"/>
        <w:tabs>
          <w:tab w:val="left" w:pos="720"/>
        </w:tabs>
        <w:ind w:left="720" w:right="126" w:hanging="720"/>
        <w:rPr>
          <w:b w:val="0"/>
          <w:i/>
          <w:color w:val="FF0000"/>
        </w:rPr>
      </w:pPr>
      <w:bookmarkStart w:id="31" w:name="_Toc432090719"/>
      <w:r>
        <w:t>3</w:t>
      </w:r>
      <w:r w:rsidR="00264DC7">
        <w:t>.</w:t>
      </w:r>
      <w:r w:rsidR="000E3CD6">
        <w:t>1</w:t>
      </w:r>
      <w:r w:rsidR="00767656">
        <w:t>2</w:t>
      </w:r>
      <w:r w:rsidR="00C7444B">
        <w:tab/>
      </w:r>
      <w:r w:rsidR="00E864B5" w:rsidRPr="00BC77F2">
        <w:t>IVA  e altre imposte e tasse</w:t>
      </w:r>
      <w:bookmarkEnd w:id="31"/>
    </w:p>
    <w:p w:rsidR="00661460" w:rsidRPr="006260DB" w:rsidRDefault="00F302B6" w:rsidP="00661460">
      <w:pPr>
        <w:ind w:right="126"/>
        <w:jc w:val="both"/>
        <w:rPr>
          <w:bCs/>
          <w:iCs/>
        </w:rPr>
      </w:pPr>
      <w:r>
        <w:rPr>
          <w:bCs/>
          <w:iCs/>
        </w:rPr>
        <w:t>I</w:t>
      </w:r>
      <w:r w:rsidR="00661460" w:rsidRPr="006260DB">
        <w:rPr>
          <w:bCs/>
          <w:iCs/>
        </w:rPr>
        <w:t>n base a quanto previsto dal</w:t>
      </w:r>
      <w:r>
        <w:rPr>
          <w:bCs/>
          <w:iCs/>
        </w:rPr>
        <w:t>l’</w:t>
      </w:r>
      <w:r w:rsidR="00661460" w:rsidRPr="006260DB">
        <w:rPr>
          <w:bCs/>
          <w:iCs/>
        </w:rPr>
        <w:t xml:space="preserve"> art. </w:t>
      </w:r>
      <w:r w:rsidR="00661460">
        <w:rPr>
          <w:bCs/>
          <w:iCs/>
        </w:rPr>
        <w:t xml:space="preserve">69 comma </w:t>
      </w:r>
      <w:r w:rsidR="00661460" w:rsidRPr="006260DB">
        <w:rPr>
          <w:bCs/>
          <w:iCs/>
        </w:rPr>
        <w:t xml:space="preserve">3, lettera </w:t>
      </w:r>
      <w:r w:rsidR="00661460">
        <w:rPr>
          <w:bCs/>
          <w:iCs/>
        </w:rPr>
        <w:t>c</w:t>
      </w:r>
      <w:r w:rsidR="00661460" w:rsidRPr="006260DB">
        <w:rPr>
          <w:bCs/>
          <w:iCs/>
        </w:rPr>
        <w:t>, del Reg. (</w:t>
      </w:r>
      <w:r w:rsidR="00661460">
        <w:rPr>
          <w:bCs/>
          <w:iCs/>
        </w:rPr>
        <w:t>U</w:t>
      </w:r>
      <w:r w:rsidR="00661460" w:rsidRPr="006260DB">
        <w:rPr>
          <w:bCs/>
          <w:iCs/>
        </w:rPr>
        <w:t xml:space="preserve">E) n. </w:t>
      </w:r>
      <w:r w:rsidR="00661460">
        <w:rPr>
          <w:bCs/>
          <w:iCs/>
        </w:rPr>
        <w:t>1303/2013</w:t>
      </w:r>
      <w:r w:rsidR="00661460" w:rsidRPr="006260DB">
        <w:rPr>
          <w:bCs/>
          <w:iCs/>
        </w:rPr>
        <w:t xml:space="preserve">, </w:t>
      </w:r>
      <w:r w:rsidR="00661460">
        <w:rPr>
          <w:bCs/>
          <w:iCs/>
        </w:rPr>
        <w:t>l’</w:t>
      </w:r>
      <w:r w:rsidR="00661460" w:rsidRPr="00587BF3">
        <w:rPr>
          <w:bCs/>
          <w:iCs/>
        </w:rPr>
        <w:t xml:space="preserve">imposta sul valore aggiunto </w:t>
      </w:r>
      <w:r w:rsidR="00661460">
        <w:rPr>
          <w:bCs/>
          <w:iCs/>
        </w:rPr>
        <w:t>n</w:t>
      </w:r>
      <w:r w:rsidR="00661460" w:rsidRPr="00587BF3">
        <w:rPr>
          <w:bCs/>
          <w:iCs/>
        </w:rPr>
        <w:t xml:space="preserve">on </w:t>
      </w:r>
      <w:r w:rsidR="00661460">
        <w:rPr>
          <w:bCs/>
          <w:iCs/>
        </w:rPr>
        <w:t>è ammissibile</w:t>
      </w:r>
      <w:r w:rsidR="00661460" w:rsidRPr="00587BF3">
        <w:rPr>
          <w:bCs/>
          <w:iCs/>
        </w:rPr>
        <w:t xml:space="preserve"> a un contributo dei fondi SIE </w:t>
      </w:r>
      <w:r w:rsidR="00661460">
        <w:rPr>
          <w:bCs/>
          <w:iCs/>
        </w:rPr>
        <w:t xml:space="preserve">, </w:t>
      </w:r>
      <w:r w:rsidR="00661460" w:rsidRPr="00587BF3">
        <w:rPr>
          <w:bCs/>
          <w:iCs/>
        </w:rPr>
        <w:t>salvo nei casi in cui non sia recuperabile a norma della normativa nazionale sull'IVA.</w:t>
      </w:r>
    </w:p>
    <w:p w:rsidR="00146837" w:rsidRDefault="009A063C" w:rsidP="00273BE4">
      <w:pPr>
        <w:autoSpaceDE w:val="0"/>
        <w:autoSpaceDN w:val="0"/>
        <w:adjustRightInd w:val="0"/>
        <w:spacing w:before="120"/>
        <w:ind w:right="126"/>
        <w:jc w:val="both"/>
        <w:rPr>
          <w:snapToGrid w:val="0"/>
        </w:rPr>
      </w:pPr>
      <w:r w:rsidRPr="00C469C6">
        <w:rPr>
          <w:snapToGrid w:val="0"/>
        </w:rPr>
        <w:t>L'IVA che sia comunque recuperabile, non può essere considerata ammissibile anche ove non venga effettivamente recuperata dal beneficiario finale</w:t>
      </w:r>
      <w:r w:rsidR="00B35878" w:rsidRPr="00B35878">
        <w:rPr>
          <w:rStyle w:val="Rimandonotaapidipagina"/>
          <w:snapToGrid w:val="0"/>
        </w:rPr>
        <w:t xml:space="preserve"> </w:t>
      </w:r>
      <w:r w:rsidR="00B35878">
        <w:rPr>
          <w:rStyle w:val="Rimandonotaapidipagina"/>
          <w:snapToGrid w:val="0"/>
        </w:rPr>
        <w:footnoteReference w:id="6"/>
      </w:r>
      <w:r w:rsidR="00B35878">
        <w:rPr>
          <w:snapToGrid w:val="0"/>
        </w:rPr>
        <w:t>.</w:t>
      </w:r>
    </w:p>
    <w:p w:rsidR="00B35878" w:rsidRDefault="00B35878" w:rsidP="00B35878">
      <w:pPr>
        <w:autoSpaceDE w:val="0"/>
        <w:autoSpaceDN w:val="0"/>
        <w:adjustRightInd w:val="0"/>
        <w:spacing w:before="120"/>
        <w:ind w:right="126"/>
        <w:jc w:val="both"/>
        <w:rPr>
          <w:snapToGrid w:val="0"/>
        </w:rPr>
      </w:pPr>
      <w:r>
        <w:rPr>
          <w:snapToGrid w:val="0"/>
        </w:rPr>
        <w:t>Nel caso specifico dei Gal, è compito dell’Autorità di Gestione stabilire le condizioni di ammissibilità dell’IVA, sulla base delle caratteristiche e delle attività svolte dal Gal stesso.</w:t>
      </w:r>
    </w:p>
    <w:p w:rsidR="00C469C6" w:rsidRDefault="00167AE9" w:rsidP="00273BE4">
      <w:pPr>
        <w:autoSpaceDE w:val="0"/>
        <w:autoSpaceDN w:val="0"/>
        <w:adjustRightInd w:val="0"/>
        <w:spacing w:before="120"/>
        <w:ind w:right="126"/>
        <w:jc w:val="both"/>
        <w:rPr>
          <w:snapToGrid w:val="0"/>
        </w:rPr>
      </w:pPr>
      <w:r w:rsidRPr="004F4DE3">
        <w:rPr>
          <w:snapToGrid w:val="0"/>
        </w:rPr>
        <w:t>È prevista una deroga nel caso in cui il sostengo sia erogato tramite strumenti finanziari. A</w:t>
      </w:r>
      <w:r w:rsidR="00146837" w:rsidRPr="004F4DE3">
        <w:rPr>
          <w:snapToGrid w:val="0"/>
        </w:rPr>
        <w:t xml:space="preserve">i sensi dell’articolo 37, paragrafo 11, del regolamento 1303/2013 </w:t>
      </w:r>
      <w:r w:rsidRPr="004F4DE3">
        <w:rPr>
          <w:snapToGrid w:val="0"/>
        </w:rPr>
        <w:t xml:space="preserve">infatti, </w:t>
      </w:r>
      <w:r w:rsidR="00146837" w:rsidRPr="004F4DE3">
        <w:rPr>
          <w:i/>
          <w:snapToGrid w:val="0"/>
        </w:rPr>
        <w:t>“il trattamento dell’IVA al livello degli investimenti realizzati dai destinatari finali non è preso in considerazione ai fini della determinazione dell’ammissibilità della spesa nell’ambito dello strumento finanziario”</w:t>
      </w:r>
      <w:r w:rsidR="00146837" w:rsidRPr="004F4DE3">
        <w:rPr>
          <w:snapToGrid w:val="0"/>
        </w:rPr>
        <w:t>.</w:t>
      </w:r>
      <w:r w:rsidR="009A063C" w:rsidRPr="004F4DE3">
        <w:rPr>
          <w:snapToGrid w:val="0"/>
        </w:rPr>
        <w:t xml:space="preserve"> </w:t>
      </w:r>
      <w:r w:rsidR="00146837" w:rsidRPr="004F4DE3">
        <w:rPr>
          <w:snapToGrid w:val="0"/>
        </w:rPr>
        <w:t>Nel caso di combinazione del sostegno erogato tramite strumenti finanziari con sovvenzioni dirette, alle sovvenzioni si applica comunque l’</w:t>
      </w:r>
      <w:r w:rsidRPr="004F4DE3">
        <w:rPr>
          <w:snapToGrid w:val="0"/>
        </w:rPr>
        <w:t>articolo 69</w:t>
      </w:r>
      <w:r w:rsidR="00146837" w:rsidRPr="004F4DE3">
        <w:rPr>
          <w:snapToGrid w:val="0"/>
        </w:rPr>
        <w:t>, paragrafo 3, lettera c.</w:t>
      </w:r>
    </w:p>
    <w:p w:rsidR="00273469" w:rsidRDefault="00B72EF4" w:rsidP="00273BE4">
      <w:pPr>
        <w:autoSpaceDE w:val="0"/>
        <w:autoSpaceDN w:val="0"/>
        <w:adjustRightInd w:val="0"/>
        <w:spacing w:before="120"/>
        <w:ind w:right="126"/>
        <w:jc w:val="both"/>
        <w:rPr>
          <w:snapToGrid w:val="0"/>
        </w:rPr>
      </w:pPr>
      <w:r>
        <w:rPr>
          <w:snapToGrid w:val="0"/>
        </w:rPr>
        <w:t>L’imposta di registro, se afferente a un’operazione finanziata, costituisce spesa ammissibile. Ogni altro tributo e onere fiscale, previdenziale e assicurativo funzionale alle operazioni oggetto di finanziamento, costituisce spesa ammissibile nei limiti in cui non sia recuperabile dal beneficiario, ovvero nel caso in cui rappresenti un costo per quest’ultimo.</w:t>
      </w:r>
    </w:p>
    <w:p w:rsidR="0026119E" w:rsidRPr="00BC77F2" w:rsidRDefault="00746DDE" w:rsidP="00A91601">
      <w:pPr>
        <w:pStyle w:val="Titolo2"/>
        <w:ind w:right="126"/>
        <w:rPr>
          <w:snapToGrid w:val="0"/>
        </w:rPr>
      </w:pPr>
      <w:bookmarkStart w:id="32" w:name="_Toc432090720"/>
      <w:r>
        <w:rPr>
          <w:snapToGrid w:val="0"/>
        </w:rPr>
        <w:t>3</w:t>
      </w:r>
      <w:r w:rsidR="00E93D22">
        <w:rPr>
          <w:snapToGrid w:val="0"/>
        </w:rPr>
        <w:t>.</w:t>
      </w:r>
      <w:r w:rsidR="000E3CD6">
        <w:rPr>
          <w:snapToGrid w:val="0"/>
        </w:rPr>
        <w:t>1</w:t>
      </w:r>
      <w:r w:rsidR="00767656">
        <w:rPr>
          <w:snapToGrid w:val="0"/>
        </w:rPr>
        <w:t>3</w:t>
      </w:r>
      <w:r w:rsidR="00A91601">
        <w:rPr>
          <w:snapToGrid w:val="0"/>
        </w:rPr>
        <w:t xml:space="preserve">  </w:t>
      </w:r>
      <w:r w:rsidR="00264DC7" w:rsidRPr="00BC77F2">
        <w:rPr>
          <w:snapToGrid w:val="0"/>
        </w:rPr>
        <w:t>L</w:t>
      </w:r>
      <w:r w:rsidR="00E864B5" w:rsidRPr="00BC77F2">
        <w:rPr>
          <w:snapToGrid w:val="0"/>
        </w:rPr>
        <w:t>easing</w:t>
      </w:r>
      <w:bookmarkEnd w:id="32"/>
    </w:p>
    <w:p w:rsidR="0004602C" w:rsidRPr="00C94098" w:rsidRDefault="00587BF3" w:rsidP="00273BE4">
      <w:pPr>
        <w:spacing w:before="120"/>
        <w:ind w:right="126"/>
        <w:jc w:val="both"/>
        <w:rPr>
          <w:snapToGrid w:val="0"/>
        </w:rPr>
      </w:pPr>
      <w:r>
        <w:rPr>
          <w:snapToGrid w:val="0"/>
        </w:rPr>
        <w:t>Come disposto dall’art. 45 del Regolamento UE n.</w:t>
      </w:r>
      <w:r w:rsidR="00EB7EED">
        <w:rPr>
          <w:snapToGrid w:val="0"/>
        </w:rPr>
        <w:t xml:space="preserve"> </w:t>
      </w:r>
      <w:r>
        <w:rPr>
          <w:snapToGrid w:val="0"/>
        </w:rPr>
        <w:t>1305</w:t>
      </w:r>
      <w:r w:rsidR="00F64564">
        <w:rPr>
          <w:snapToGrid w:val="0"/>
        </w:rPr>
        <w:t>/2013</w:t>
      </w:r>
      <w:r>
        <w:rPr>
          <w:snapToGrid w:val="0"/>
        </w:rPr>
        <w:t xml:space="preserve">, </w:t>
      </w:r>
      <w:r w:rsidR="00021618">
        <w:rPr>
          <w:snapToGrid w:val="0"/>
        </w:rPr>
        <w:t>l</w:t>
      </w:r>
      <w:r w:rsidR="00E864B5" w:rsidRPr="00B226EC">
        <w:rPr>
          <w:snapToGrid w:val="0"/>
        </w:rPr>
        <w:t xml:space="preserve">a spesa sostenuta in relazione ad operazioni di locazione finanziaria (leasing) è ammessa solo per misure che </w:t>
      </w:r>
      <w:r w:rsidR="0080423F">
        <w:rPr>
          <w:snapToGrid w:val="0"/>
        </w:rPr>
        <w:t>riguard</w:t>
      </w:r>
      <w:r w:rsidR="00A76EE1">
        <w:rPr>
          <w:snapToGrid w:val="0"/>
        </w:rPr>
        <w:t>i</w:t>
      </w:r>
      <w:r w:rsidR="0080423F">
        <w:rPr>
          <w:snapToGrid w:val="0"/>
        </w:rPr>
        <w:t xml:space="preserve">no investimenti per acquisto di beni immobili e </w:t>
      </w:r>
      <w:r w:rsidR="0080423F" w:rsidRPr="008D04DC">
        <w:rPr>
          <w:snapToGrid w:val="0"/>
        </w:rPr>
        <w:t>mobili</w:t>
      </w:r>
      <w:r w:rsidR="00F302B6">
        <w:rPr>
          <w:snapToGrid w:val="0"/>
        </w:rPr>
        <w:t xml:space="preserve"> attraverso l’aiuto concesso all’utilizzatore</w:t>
      </w:r>
      <w:r w:rsidR="00C94098">
        <w:rPr>
          <w:snapToGrid w:val="0"/>
          <w:color w:val="FF0000"/>
        </w:rPr>
        <w:t xml:space="preserve">. </w:t>
      </w:r>
      <w:r w:rsidR="0004602C">
        <w:rPr>
          <w:bCs/>
          <w:snapToGrid w:val="0"/>
        </w:rPr>
        <w:t>L’utilizzatore è il beneficiario diretto del contributo.</w:t>
      </w:r>
    </w:p>
    <w:p w:rsidR="0080423F" w:rsidRDefault="0080423F" w:rsidP="00273BE4">
      <w:pPr>
        <w:spacing w:before="120"/>
        <w:ind w:right="126"/>
        <w:jc w:val="both"/>
        <w:rPr>
          <w:snapToGrid w:val="0"/>
        </w:rPr>
      </w:pPr>
      <w:r>
        <w:rPr>
          <w:snapToGrid w:val="0"/>
        </w:rPr>
        <w:t xml:space="preserve">Per quanto concerne l’acquisto di </w:t>
      </w:r>
      <w:r w:rsidR="00C91357">
        <w:rPr>
          <w:snapToGrid w:val="0"/>
        </w:rPr>
        <w:t>nuove</w:t>
      </w:r>
      <w:r w:rsidR="00C91357" w:rsidDel="00C91357">
        <w:rPr>
          <w:snapToGrid w:val="0"/>
        </w:rPr>
        <w:t xml:space="preserve"> </w:t>
      </w:r>
      <w:r>
        <w:rPr>
          <w:snapToGrid w:val="0"/>
        </w:rPr>
        <w:t>macchine</w:t>
      </w:r>
      <w:r w:rsidR="00C91357">
        <w:rPr>
          <w:snapToGrid w:val="0"/>
        </w:rPr>
        <w:t xml:space="preserve"> e</w:t>
      </w:r>
      <w:r>
        <w:rPr>
          <w:snapToGrid w:val="0"/>
        </w:rPr>
        <w:t xml:space="preserve"> attrezzature,</w:t>
      </w:r>
      <w:r w:rsidR="00C91357">
        <w:rPr>
          <w:snapToGrid w:val="0"/>
        </w:rPr>
        <w:t xml:space="preserve"> compresi i</w:t>
      </w:r>
      <w:r>
        <w:rPr>
          <w:snapToGrid w:val="0"/>
        </w:rPr>
        <w:t xml:space="preserve"> programmi informatici</w:t>
      </w:r>
      <w:r w:rsidR="00C32D93">
        <w:rPr>
          <w:snapToGrid w:val="0"/>
        </w:rPr>
        <w:t>,</w:t>
      </w:r>
      <w:r w:rsidR="00A76EE1">
        <w:rPr>
          <w:snapToGrid w:val="0"/>
        </w:rPr>
        <w:t xml:space="preserve"> il leasing è ammi</w:t>
      </w:r>
      <w:r>
        <w:rPr>
          <w:snapToGrid w:val="0"/>
        </w:rPr>
        <w:t>ssibile con patto di acquisto e fino ad un massimo del valore di mercato del bene.</w:t>
      </w:r>
    </w:p>
    <w:p w:rsidR="00E864B5" w:rsidRDefault="00C91357" w:rsidP="00273BE4">
      <w:pPr>
        <w:spacing w:before="120"/>
        <w:ind w:right="126"/>
        <w:jc w:val="both"/>
        <w:rPr>
          <w:b/>
          <w:snapToGrid w:val="0"/>
        </w:rPr>
      </w:pPr>
      <w:r>
        <w:rPr>
          <w:snapToGrid w:val="0"/>
        </w:rPr>
        <w:lastRenderedPageBreak/>
        <w:t>L</w:t>
      </w:r>
      <w:r w:rsidR="00E864B5" w:rsidRPr="00B226EC">
        <w:rPr>
          <w:snapToGrid w:val="0"/>
        </w:rPr>
        <w:t>a spesa ammissibile è rappresentata dai canoni pagati dall’utilizzatore al concedente, comprovati da una fattura o da un documento avente forza probatoria equivalente</w:t>
      </w:r>
      <w:r w:rsidRPr="001F1948">
        <w:rPr>
          <w:snapToGrid w:val="0"/>
        </w:rPr>
        <w:t>,</w:t>
      </w:r>
      <w:r>
        <w:rPr>
          <w:snapToGrid w:val="0"/>
        </w:rPr>
        <w:t xml:space="preserve"> entro il limite fissato per l’ammissibilità delle spese, al netto dei costi connessi al contratto (garanzie del concedente, costi di rifinanziamento, interessi, spese generali e oneri assicurativi)</w:t>
      </w:r>
      <w:r w:rsidRPr="001F1948">
        <w:rPr>
          <w:snapToGrid w:val="0"/>
        </w:rPr>
        <w:t>.</w:t>
      </w:r>
    </w:p>
    <w:p w:rsidR="0004602C" w:rsidRDefault="005F76E4" w:rsidP="00273BE4">
      <w:pPr>
        <w:spacing w:before="120"/>
        <w:ind w:right="126"/>
        <w:jc w:val="both"/>
        <w:rPr>
          <w:snapToGrid w:val="0"/>
        </w:rPr>
      </w:pPr>
      <w:r>
        <w:rPr>
          <w:snapToGrid w:val="0"/>
        </w:rPr>
        <w:t>In ogni caso</w:t>
      </w:r>
      <w:r w:rsidR="00895BBE">
        <w:rPr>
          <w:snapToGrid w:val="0"/>
        </w:rPr>
        <w:t>,</w:t>
      </w:r>
      <w:r>
        <w:rPr>
          <w:snapToGrid w:val="0"/>
        </w:rPr>
        <w:t xml:space="preserve"> dev</w:t>
      </w:r>
      <w:r w:rsidR="00CB67E3">
        <w:rPr>
          <w:snapToGrid w:val="0"/>
        </w:rPr>
        <w:t xml:space="preserve">e </w:t>
      </w:r>
      <w:r w:rsidR="00895BBE">
        <w:rPr>
          <w:snapToGrid w:val="0"/>
        </w:rPr>
        <w:t>essere garantita</w:t>
      </w:r>
      <w:r>
        <w:rPr>
          <w:snapToGrid w:val="0"/>
        </w:rPr>
        <w:t xml:space="preserve"> la non alienabilità del bene e la destinazione</w:t>
      </w:r>
      <w:r w:rsidR="0004602C">
        <w:rPr>
          <w:snapToGrid w:val="0"/>
        </w:rPr>
        <w:t xml:space="preserve"> d’uso</w:t>
      </w:r>
      <w:r>
        <w:rPr>
          <w:snapToGrid w:val="0"/>
        </w:rPr>
        <w:t xml:space="preserve"> per il periodo previsto dall’operazione finanziata. </w:t>
      </w:r>
    </w:p>
    <w:p w:rsidR="00661460" w:rsidRDefault="00661460" w:rsidP="00273BE4">
      <w:pPr>
        <w:spacing w:before="120"/>
        <w:ind w:right="126"/>
        <w:jc w:val="both"/>
        <w:rPr>
          <w:b/>
          <w:snapToGrid w:val="0"/>
        </w:rPr>
      </w:pPr>
    </w:p>
    <w:p w:rsidR="004E2B7A" w:rsidRPr="00CB5EEE" w:rsidRDefault="004E2B7A" w:rsidP="00273BE4">
      <w:pPr>
        <w:spacing w:before="120"/>
        <w:ind w:right="126"/>
        <w:jc w:val="both"/>
        <w:rPr>
          <w:snapToGrid w:val="0"/>
        </w:rPr>
      </w:pPr>
    </w:p>
    <w:p w:rsidR="005C7949" w:rsidRPr="0074610B" w:rsidRDefault="00746DDE" w:rsidP="00273BE4">
      <w:pPr>
        <w:pStyle w:val="Titolo2"/>
        <w:tabs>
          <w:tab w:val="left" w:pos="720"/>
        </w:tabs>
        <w:ind w:left="720" w:right="126" w:hanging="720"/>
        <w:rPr>
          <w:snapToGrid w:val="0"/>
        </w:rPr>
      </w:pPr>
      <w:bookmarkStart w:id="33" w:name="_Toc432090721"/>
      <w:r w:rsidRPr="0074610B">
        <w:rPr>
          <w:snapToGrid w:val="0"/>
        </w:rPr>
        <w:t>3</w:t>
      </w:r>
      <w:r w:rsidR="00ED180D" w:rsidRPr="0074610B">
        <w:rPr>
          <w:snapToGrid w:val="0"/>
        </w:rPr>
        <w:t>.</w:t>
      </w:r>
      <w:r w:rsidR="009E46E3" w:rsidRPr="0074610B">
        <w:rPr>
          <w:snapToGrid w:val="0"/>
        </w:rPr>
        <w:t>1</w:t>
      </w:r>
      <w:r w:rsidR="00767656" w:rsidRPr="0074610B">
        <w:rPr>
          <w:snapToGrid w:val="0"/>
        </w:rPr>
        <w:t>4</w:t>
      </w:r>
      <w:r w:rsidR="00816EC0" w:rsidRPr="0074610B">
        <w:rPr>
          <w:snapToGrid w:val="0"/>
        </w:rPr>
        <w:tab/>
      </w:r>
      <w:r w:rsidR="00587BF3" w:rsidRPr="0074610B">
        <w:rPr>
          <w:snapToGrid w:val="0"/>
        </w:rPr>
        <w:t>Strumenti finanziari</w:t>
      </w:r>
      <w:bookmarkEnd w:id="33"/>
      <w:r w:rsidR="005C7949" w:rsidRPr="0074610B">
        <w:rPr>
          <w:snapToGrid w:val="0"/>
        </w:rPr>
        <w:t xml:space="preserve"> </w:t>
      </w:r>
    </w:p>
    <w:p w:rsidR="0074610B" w:rsidRPr="0074610B" w:rsidRDefault="0074610B" w:rsidP="0074610B">
      <w:pPr>
        <w:spacing w:after="160" w:line="259" w:lineRule="auto"/>
        <w:jc w:val="both"/>
        <w:rPr>
          <w:rFonts w:eastAsia="Calibri"/>
          <w:i/>
          <w:sz w:val="22"/>
          <w:szCs w:val="22"/>
          <w:lang w:eastAsia="en-US"/>
        </w:rPr>
      </w:pPr>
      <w:r w:rsidRPr="0074610B">
        <w:rPr>
          <w:rFonts w:eastAsia="Calibri"/>
          <w:sz w:val="22"/>
          <w:szCs w:val="22"/>
          <w:lang w:eastAsia="en-US"/>
        </w:rPr>
        <w:t xml:space="preserve">Ai sensi dell’articolo 37, paragrafo 1, del regolamento 1303/2013 </w:t>
      </w:r>
      <w:r w:rsidRPr="0074610B">
        <w:rPr>
          <w:rFonts w:eastAsia="Calibri"/>
          <w:i/>
          <w:sz w:val="22"/>
          <w:szCs w:val="22"/>
          <w:lang w:eastAsia="en-US"/>
        </w:rPr>
        <w:t>“I fondi SIE possono intervenire per sostenere strumenti finanziari nell’ambito di uno o più programmi, anche quando sono organizzati attraverso fondi di fondi, al fine di contribuire al conseguimento degli obiettivi specifici stabiliti nell’ambito di una priorità”.</w:t>
      </w:r>
    </w:p>
    <w:p w:rsidR="0074610B" w:rsidRPr="0074610B" w:rsidRDefault="0074610B" w:rsidP="0074610B">
      <w:pPr>
        <w:spacing w:after="160" w:line="259" w:lineRule="auto"/>
        <w:jc w:val="both"/>
        <w:rPr>
          <w:rFonts w:eastAsia="Calibri"/>
          <w:b/>
          <w:sz w:val="22"/>
          <w:szCs w:val="22"/>
          <w:lang w:eastAsia="en-US"/>
        </w:rPr>
      </w:pPr>
      <w:r w:rsidRPr="0074610B">
        <w:rPr>
          <w:rFonts w:eastAsia="Calibri"/>
          <w:b/>
          <w:sz w:val="22"/>
          <w:szCs w:val="22"/>
          <w:lang w:eastAsia="en-US"/>
        </w:rPr>
        <w:t>Spese ammissibili a chiusura degli interventi</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Le spese ammissibili a chiusura del programma sono definite dall’articolo 42, paragrafi 1, 2 e 3 del regolamento 1303/2013.</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Costituisce spesa ammissibile il totale dei contributi del programma versati allo strumento, utilizzati in relazione alle seguenti categorie di spesa:</w:t>
      </w:r>
    </w:p>
    <w:p w:rsidR="0074610B" w:rsidRPr="0074610B" w:rsidRDefault="0074610B" w:rsidP="00BE7ABC">
      <w:pPr>
        <w:numPr>
          <w:ilvl w:val="0"/>
          <w:numId w:val="34"/>
        </w:numPr>
        <w:spacing w:after="160" w:line="259" w:lineRule="auto"/>
        <w:contextualSpacing/>
        <w:jc w:val="both"/>
        <w:rPr>
          <w:rFonts w:eastAsia="Calibri"/>
          <w:sz w:val="22"/>
          <w:szCs w:val="22"/>
          <w:lang w:eastAsia="en-US"/>
        </w:rPr>
      </w:pPr>
      <w:r w:rsidRPr="0074610B">
        <w:rPr>
          <w:rFonts w:eastAsia="Calibri"/>
          <w:sz w:val="22"/>
          <w:szCs w:val="22"/>
          <w:lang w:eastAsia="en-US"/>
        </w:rPr>
        <w:t>Pagamenti a beneficio del destinatario finale [articolo 42, paragrafo 1, lettera a)] o impegnati a fronte di garanzie rilasciate [articolo 42, paragrafo 1, lettera b)];</w:t>
      </w:r>
    </w:p>
    <w:p w:rsidR="0074610B" w:rsidRPr="0074610B" w:rsidRDefault="0074610B" w:rsidP="00BE7ABC">
      <w:pPr>
        <w:numPr>
          <w:ilvl w:val="0"/>
          <w:numId w:val="34"/>
        </w:numPr>
        <w:spacing w:after="160" w:line="259" w:lineRule="auto"/>
        <w:contextualSpacing/>
        <w:jc w:val="both"/>
        <w:rPr>
          <w:rFonts w:eastAsia="Calibri"/>
          <w:sz w:val="22"/>
          <w:szCs w:val="22"/>
          <w:lang w:eastAsia="en-US"/>
        </w:rPr>
      </w:pPr>
      <w:r w:rsidRPr="0074610B">
        <w:rPr>
          <w:rFonts w:eastAsia="Calibri"/>
          <w:sz w:val="22"/>
          <w:szCs w:val="22"/>
          <w:lang w:eastAsia="en-US"/>
        </w:rPr>
        <w:t>Costi e commissioni di gestione riconosciuti al gestore dello strumento [articolo 42, paragrafo 1, lettera d)];</w:t>
      </w:r>
    </w:p>
    <w:p w:rsidR="0074610B" w:rsidRPr="0074610B" w:rsidRDefault="0074610B" w:rsidP="00BE7ABC">
      <w:pPr>
        <w:numPr>
          <w:ilvl w:val="0"/>
          <w:numId w:val="34"/>
        </w:numPr>
        <w:spacing w:after="160" w:line="259" w:lineRule="auto"/>
        <w:contextualSpacing/>
        <w:jc w:val="both"/>
        <w:rPr>
          <w:rFonts w:eastAsia="Calibri"/>
          <w:sz w:val="22"/>
          <w:szCs w:val="22"/>
          <w:lang w:eastAsia="en-US"/>
        </w:rPr>
      </w:pPr>
      <w:r w:rsidRPr="0074610B">
        <w:rPr>
          <w:rFonts w:eastAsia="Calibri"/>
          <w:sz w:val="22"/>
          <w:szCs w:val="22"/>
          <w:lang w:eastAsia="en-US"/>
        </w:rPr>
        <w:t>Somme destinate a pagamenti futuri da parte del gestore del fondo versati in conti di garanzia aperti specificamente per gli scopi previsti [articolo 42, paragrafo 1, lettera c); articolo 42, paragrafo 2; articolo 42, paragrafo 3].</w:t>
      </w:r>
    </w:p>
    <w:p w:rsidR="0074610B" w:rsidRPr="0074610B" w:rsidRDefault="0074610B" w:rsidP="002E391E">
      <w:pPr>
        <w:spacing w:before="240" w:after="160" w:line="259" w:lineRule="auto"/>
        <w:jc w:val="both"/>
        <w:rPr>
          <w:rFonts w:eastAsia="Calibri"/>
          <w:b/>
          <w:sz w:val="22"/>
          <w:szCs w:val="22"/>
          <w:lang w:eastAsia="en-US"/>
        </w:rPr>
      </w:pPr>
      <w:r w:rsidRPr="0074610B">
        <w:rPr>
          <w:rFonts w:eastAsia="Calibri"/>
          <w:b/>
          <w:sz w:val="22"/>
          <w:szCs w:val="22"/>
          <w:lang w:eastAsia="en-US"/>
        </w:rPr>
        <w:t>Pagamenti intermedi</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 xml:space="preserve">Il versamento agli strumenti delle risorse PSR deve essere effettuato in modo rateizzato. </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Ciascun versamento può essere dichiarato alla Commissione per il rimborso della quota FEASR a titolo di pagamento intermedio ai sensi dell’articolo 36 del regolamento 1306/2013, e non deve superare il 25 per cento dell’importo complessivo dei contributi del programma che si prevede di versare allo strumento entro il termine di ammissibilità delle spese per le categorie di spesa 1 e 2 del precedente paragrafo.</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Tale importo complessivo è quello che risulta dall’Accordo di finanziamento tra Autorità di gestione e gestore dello strumento ai sensi dell’articolo 38, paragrafo 7 del regolamento 1303/2013. Il suddetto importo è fissato sulla base dei risultati della valutazione ex ante degli strumenti, redatta in conformità con l’articolo 37, paragrafo 2 del regolamento 1303/2013.</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Nel corso del periodo di programmazione dunque, il finanziamento dello strumento dovrà avvenire attraverso almeno 4 versamenti, per i quali è possibile ottenere il rimborso della quota FEASR a titolo di pagamento intermedio, per le categorie di spese ammissibili 1 e 2 del precedente paragrafo. A conclusione del periodo di ammissibilità saranno dichiarate anche le spese, comunque effettuate entro tale termine (31/12/2023), per le somme versate in conti di garanzia per utilizzi futuri rientranti nella categoria 3.</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Il secondo pagamento intermedio può avere luogo solo nel momento in cui almeno il 60 per cento delle risorse versate con il primo pagamento siano state utilizzate, ai sensi dell’articolo 42 del regolamento 1303/2013, per le categorie di spesa 1 e 2 riportate nel precedente paragrafo. Dal terzo pagamento in poi, le risorse versate per le medesime categorie di spesa devono essere state utilizzate almeno all’85 per cento.</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lastRenderedPageBreak/>
        <w:t xml:space="preserve">Nel caso degli strumenti finanziari, il cofinanziamento nazionale </w:t>
      </w:r>
      <w:r w:rsidR="009A7756">
        <w:rPr>
          <w:rFonts w:eastAsia="Calibri"/>
          <w:sz w:val="22"/>
          <w:szCs w:val="22"/>
          <w:lang w:eastAsia="en-US"/>
        </w:rPr>
        <w:t xml:space="preserve">non deve essere necessariamente contestuale al versamento della quota FEASR, ma </w:t>
      </w:r>
      <w:r w:rsidRPr="0074610B">
        <w:rPr>
          <w:rFonts w:eastAsia="Calibri"/>
          <w:sz w:val="22"/>
          <w:szCs w:val="22"/>
          <w:lang w:eastAsia="en-US"/>
        </w:rPr>
        <w:t>può essere</w:t>
      </w:r>
      <w:r w:rsidR="009A7756">
        <w:rPr>
          <w:rFonts w:eastAsia="Calibri"/>
          <w:sz w:val="22"/>
          <w:szCs w:val="22"/>
          <w:lang w:eastAsia="en-US"/>
        </w:rPr>
        <w:t xml:space="preserve"> versato</w:t>
      </w:r>
      <w:r w:rsidRPr="0074610B">
        <w:rPr>
          <w:rFonts w:eastAsia="Calibri"/>
          <w:sz w:val="22"/>
          <w:szCs w:val="22"/>
          <w:lang w:eastAsia="en-US"/>
        </w:rPr>
        <w:t xml:space="preserve"> </w:t>
      </w:r>
      <w:r w:rsidR="009A7756">
        <w:rPr>
          <w:rFonts w:eastAsia="Calibri"/>
          <w:sz w:val="22"/>
          <w:szCs w:val="22"/>
          <w:lang w:eastAsia="en-US"/>
        </w:rPr>
        <w:t>in un momento successivo al fondo di fondi, allo strumento finanziario o</w:t>
      </w:r>
      <w:r w:rsidRPr="0074610B">
        <w:rPr>
          <w:rFonts w:eastAsia="Calibri"/>
          <w:sz w:val="22"/>
          <w:szCs w:val="22"/>
          <w:lang w:eastAsia="en-US"/>
        </w:rPr>
        <w:t xml:space="preserve"> direttamente al destinatario finale, ai sensi dell’articolo 38, paragrafo 9, del regolamento 1303/2013. In questi casi, ciascuna domanda di pagamento intermedio può includere fino al 25 per cento del cofinanziamento nazionale previsto con riferimento alle spese rientranti nelle categorie 1 e 2.</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Le precedenti norme sui pagamenti intermedi non si applicano agli strumenti finanziari per i quali l’Autorità di gestione assume direttamente compiti di esecuzione (esclusivamente fondi di garanzia e fondi di credito) ai sensi dell’articolo 38, paragrafo 4, lettera c) del regolamento 1303/2013. In questo caso, le domande di pagamento intermedio possono includere esclusivamente i pagamenti realmente effettuati a favore dei ben</w:t>
      </w:r>
      <w:r w:rsidR="00146C76">
        <w:rPr>
          <w:rFonts w:eastAsia="Calibri"/>
          <w:sz w:val="22"/>
          <w:szCs w:val="22"/>
          <w:lang w:eastAsia="en-US"/>
        </w:rPr>
        <w:t>eficiari finali per le categorie</w:t>
      </w:r>
      <w:r w:rsidRPr="0074610B">
        <w:rPr>
          <w:rFonts w:eastAsia="Calibri"/>
          <w:sz w:val="22"/>
          <w:szCs w:val="22"/>
          <w:lang w:eastAsia="en-US"/>
        </w:rPr>
        <w:t xml:space="preserve"> di spesa 1 di cui al paragrafo precedente.</w:t>
      </w:r>
    </w:p>
    <w:p w:rsidR="0074610B" w:rsidRPr="0074610B" w:rsidRDefault="0074610B" w:rsidP="002E391E">
      <w:pPr>
        <w:spacing w:before="240" w:after="160" w:line="259" w:lineRule="auto"/>
        <w:jc w:val="both"/>
        <w:rPr>
          <w:rFonts w:eastAsia="Calibri"/>
          <w:b/>
          <w:sz w:val="22"/>
          <w:szCs w:val="22"/>
          <w:lang w:eastAsia="en-US"/>
        </w:rPr>
      </w:pPr>
      <w:r w:rsidRPr="0074610B">
        <w:rPr>
          <w:rFonts w:eastAsia="Calibri"/>
          <w:b/>
          <w:sz w:val="22"/>
          <w:szCs w:val="22"/>
          <w:lang w:eastAsia="en-US"/>
        </w:rPr>
        <w:t>Dettaglio delle spese ammissibili</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Le tre categorie di spese ammissibili precedentemente descritte possono essere dettagliate nelle seguenti voci di spesa definite dall’articolo 42, paragrafi 1, 2 e 3 del regolamento 1303/2013:</w:t>
      </w:r>
    </w:p>
    <w:p w:rsidR="0074610B" w:rsidRPr="0074610B" w:rsidRDefault="0074610B" w:rsidP="00BE7ABC">
      <w:pPr>
        <w:numPr>
          <w:ilvl w:val="0"/>
          <w:numId w:val="35"/>
        </w:numPr>
        <w:spacing w:after="160" w:line="259" w:lineRule="auto"/>
        <w:contextualSpacing/>
        <w:jc w:val="both"/>
        <w:rPr>
          <w:rFonts w:eastAsia="Calibri"/>
          <w:sz w:val="22"/>
          <w:szCs w:val="22"/>
          <w:lang w:eastAsia="en-US"/>
        </w:rPr>
      </w:pPr>
      <w:r w:rsidRPr="0074610B">
        <w:rPr>
          <w:rFonts w:eastAsia="Calibri"/>
          <w:sz w:val="22"/>
          <w:szCs w:val="22"/>
          <w:lang w:eastAsia="en-US"/>
        </w:rPr>
        <w:t>Pagamenti a beneficio del destinatario finale o impegnati a fronte di garanzie rilasciate:</w:t>
      </w:r>
    </w:p>
    <w:p w:rsidR="0074610B" w:rsidRPr="0074610B" w:rsidRDefault="0074610B" w:rsidP="00BE7ABC">
      <w:pPr>
        <w:numPr>
          <w:ilvl w:val="0"/>
          <w:numId w:val="36"/>
        </w:numPr>
        <w:spacing w:after="160" w:line="259" w:lineRule="auto"/>
        <w:contextualSpacing/>
        <w:jc w:val="both"/>
        <w:rPr>
          <w:rFonts w:eastAsia="Calibri"/>
          <w:sz w:val="22"/>
          <w:szCs w:val="22"/>
          <w:lang w:eastAsia="en-US"/>
        </w:rPr>
      </w:pPr>
      <w:r w:rsidRPr="0074610B">
        <w:rPr>
          <w:rFonts w:eastAsia="Calibri"/>
          <w:b/>
          <w:sz w:val="22"/>
          <w:szCs w:val="22"/>
          <w:lang w:eastAsia="en-US"/>
        </w:rPr>
        <w:t>Art. 42, paragrafo 1, lettera a:</w:t>
      </w:r>
      <w:r w:rsidRPr="0074610B">
        <w:rPr>
          <w:rFonts w:eastAsia="Calibri"/>
          <w:sz w:val="22"/>
          <w:szCs w:val="22"/>
          <w:lang w:eastAsia="en-US"/>
        </w:rPr>
        <w:t xml:space="preserve"> pagamenti ai destinatari finali (ed esempio a titolo di finanziamenti o di investimenti in capitale di rischio);</w:t>
      </w:r>
    </w:p>
    <w:p w:rsidR="0074610B" w:rsidRPr="0074610B" w:rsidRDefault="0074610B" w:rsidP="00BE7ABC">
      <w:pPr>
        <w:numPr>
          <w:ilvl w:val="0"/>
          <w:numId w:val="36"/>
        </w:numPr>
        <w:spacing w:after="160" w:line="259" w:lineRule="auto"/>
        <w:contextualSpacing/>
        <w:jc w:val="both"/>
        <w:rPr>
          <w:rFonts w:eastAsia="Calibri"/>
          <w:sz w:val="22"/>
          <w:szCs w:val="22"/>
          <w:lang w:eastAsia="en-US"/>
        </w:rPr>
      </w:pPr>
      <w:r w:rsidRPr="0074610B">
        <w:rPr>
          <w:rFonts w:eastAsia="Calibri"/>
          <w:b/>
          <w:sz w:val="22"/>
          <w:szCs w:val="22"/>
          <w:lang w:eastAsia="en-US"/>
        </w:rPr>
        <w:t xml:space="preserve">Art. 42, paragrafo 1, lettera a: </w:t>
      </w:r>
      <w:r w:rsidRPr="0074610B">
        <w:rPr>
          <w:rFonts w:eastAsia="Calibri"/>
          <w:sz w:val="22"/>
          <w:szCs w:val="22"/>
          <w:lang w:eastAsia="en-US"/>
        </w:rPr>
        <w:t xml:space="preserve">contributi erogati tramite altre forme di sostegno, combinate con gli strumenti finanziari in un’unica operazione ai sensi dell’articolo 37, paragrafo 7, del regolamento 1303/2013; </w:t>
      </w:r>
    </w:p>
    <w:p w:rsidR="0074610B" w:rsidRPr="0074610B" w:rsidRDefault="0074610B" w:rsidP="00BE7ABC">
      <w:pPr>
        <w:numPr>
          <w:ilvl w:val="0"/>
          <w:numId w:val="36"/>
        </w:numPr>
        <w:spacing w:after="160" w:line="259" w:lineRule="auto"/>
        <w:contextualSpacing/>
        <w:jc w:val="both"/>
        <w:rPr>
          <w:rFonts w:eastAsia="Calibri"/>
          <w:sz w:val="22"/>
          <w:szCs w:val="22"/>
          <w:lang w:eastAsia="en-US"/>
        </w:rPr>
      </w:pPr>
      <w:r w:rsidRPr="0074610B">
        <w:rPr>
          <w:rFonts w:eastAsia="Calibri"/>
          <w:b/>
          <w:sz w:val="22"/>
          <w:szCs w:val="22"/>
          <w:lang w:eastAsia="en-US"/>
        </w:rPr>
        <w:t xml:space="preserve">Art. 42, paragrafo 1, lettera b: </w:t>
      </w:r>
      <w:r w:rsidRPr="0074610B">
        <w:rPr>
          <w:rFonts w:eastAsia="Calibri"/>
          <w:sz w:val="22"/>
          <w:szCs w:val="22"/>
          <w:lang w:eastAsia="en-US"/>
        </w:rPr>
        <w:t>nel caso dei fondi di garanzia, il totale delle risorse accantonate a fronte di ciascuna garanzia rilasciata nel corso del periodo di programmazione;</w:t>
      </w:r>
    </w:p>
    <w:p w:rsidR="0074610B" w:rsidRPr="0074610B" w:rsidRDefault="0074610B" w:rsidP="00BE7ABC">
      <w:pPr>
        <w:numPr>
          <w:ilvl w:val="0"/>
          <w:numId w:val="35"/>
        </w:numPr>
        <w:spacing w:after="160" w:line="259" w:lineRule="auto"/>
        <w:contextualSpacing/>
        <w:jc w:val="both"/>
        <w:rPr>
          <w:rFonts w:eastAsia="Calibri"/>
          <w:sz w:val="22"/>
          <w:szCs w:val="22"/>
          <w:lang w:eastAsia="en-US"/>
        </w:rPr>
      </w:pPr>
      <w:r w:rsidRPr="0074610B">
        <w:rPr>
          <w:rFonts w:eastAsia="Calibri"/>
          <w:sz w:val="22"/>
          <w:szCs w:val="22"/>
          <w:lang w:eastAsia="en-US"/>
        </w:rPr>
        <w:t>Costi e commissioni di gestione riconosciuti al gestore dello strumento:</w:t>
      </w:r>
    </w:p>
    <w:p w:rsidR="0074610B" w:rsidRPr="0074610B" w:rsidRDefault="0074610B" w:rsidP="00BE7ABC">
      <w:pPr>
        <w:numPr>
          <w:ilvl w:val="0"/>
          <w:numId w:val="37"/>
        </w:numPr>
        <w:spacing w:after="160" w:line="259" w:lineRule="auto"/>
        <w:contextualSpacing/>
        <w:jc w:val="both"/>
        <w:rPr>
          <w:rFonts w:eastAsia="Calibri"/>
          <w:b/>
          <w:sz w:val="22"/>
          <w:szCs w:val="22"/>
          <w:lang w:eastAsia="en-US"/>
        </w:rPr>
      </w:pPr>
      <w:r w:rsidRPr="0074610B">
        <w:rPr>
          <w:rFonts w:eastAsia="Calibri"/>
          <w:b/>
          <w:sz w:val="22"/>
          <w:szCs w:val="22"/>
          <w:lang w:eastAsia="en-US"/>
        </w:rPr>
        <w:t>Art. 42, paragrafo 1, lettera d:</w:t>
      </w:r>
      <w:r w:rsidRPr="0074610B">
        <w:rPr>
          <w:rFonts w:eastAsia="Calibri"/>
          <w:sz w:val="22"/>
          <w:szCs w:val="22"/>
          <w:lang w:eastAsia="en-US"/>
        </w:rPr>
        <w:t xml:space="preserve"> rimborso dei costi di gestione sostenuti o pagamento delle commissioni di gestione dello strumento finanziario.</w:t>
      </w:r>
    </w:p>
    <w:p w:rsidR="0074610B" w:rsidRPr="0074610B" w:rsidRDefault="0074610B" w:rsidP="00BE7ABC">
      <w:pPr>
        <w:numPr>
          <w:ilvl w:val="0"/>
          <w:numId w:val="35"/>
        </w:numPr>
        <w:spacing w:after="160" w:line="259" w:lineRule="auto"/>
        <w:contextualSpacing/>
        <w:jc w:val="both"/>
        <w:rPr>
          <w:rFonts w:eastAsia="Calibri"/>
          <w:sz w:val="22"/>
          <w:szCs w:val="22"/>
          <w:lang w:eastAsia="en-US"/>
        </w:rPr>
      </w:pPr>
      <w:r w:rsidRPr="0074610B">
        <w:rPr>
          <w:rFonts w:eastAsia="Calibri"/>
          <w:sz w:val="22"/>
          <w:szCs w:val="22"/>
          <w:lang w:eastAsia="en-US"/>
        </w:rPr>
        <w:t>Somme destinate a pagamenti futuri da parte del gestore del fondo versati in conti di garanzia aperti specificamente per gli scopi previsti:</w:t>
      </w:r>
    </w:p>
    <w:p w:rsidR="0074610B" w:rsidRPr="0074610B" w:rsidRDefault="0074610B" w:rsidP="00BE7ABC">
      <w:pPr>
        <w:numPr>
          <w:ilvl w:val="0"/>
          <w:numId w:val="38"/>
        </w:numPr>
        <w:spacing w:after="160" w:line="259" w:lineRule="auto"/>
        <w:contextualSpacing/>
        <w:jc w:val="both"/>
        <w:rPr>
          <w:rFonts w:eastAsia="Calibri"/>
          <w:sz w:val="22"/>
          <w:szCs w:val="22"/>
          <w:lang w:eastAsia="en-US"/>
        </w:rPr>
      </w:pPr>
      <w:r w:rsidRPr="0074610B">
        <w:rPr>
          <w:rFonts w:eastAsia="Calibri"/>
          <w:b/>
          <w:sz w:val="22"/>
          <w:szCs w:val="22"/>
          <w:lang w:eastAsia="en-US"/>
        </w:rPr>
        <w:t xml:space="preserve">Art. 42, paragrafo 1, lettera c: </w:t>
      </w:r>
      <w:r w:rsidRPr="0074610B">
        <w:rPr>
          <w:rFonts w:eastAsia="Calibri"/>
          <w:sz w:val="22"/>
          <w:szCs w:val="22"/>
          <w:lang w:eastAsia="en-US"/>
        </w:rPr>
        <w:t xml:space="preserve">gli abbuoni di interesse o gli abbuoni di commissioni di garanzia capitalizzati, utilizzati in combinazione con strumenti finanziari da pagare per un periodo non superiore ai dieci anni successivi al periodo di ammissibilità; </w:t>
      </w:r>
    </w:p>
    <w:p w:rsidR="0074610B" w:rsidRPr="0074610B" w:rsidRDefault="0074610B" w:rsidP="00BE7ABC">
      <w:pPr>
        <w:numPr>
          <w:ilvl w:val="0"/>
          <w:numId w:val="38"/>
        </w:numPr>
        <w:spacing w:after="160" w:line="259" w:lineRule="auto"/>
        <w:contextualSpacing/>
        <w:jc w:val="both"/>
        <w:rPr>
          <w:rFonts w:eastAsia="Calibri"/>
          <w:sz w:val="22"/>
          <w:szCs w:val="22"/>
          <w:lang w:eastAsia="en-US"/>
        </w:rPr>
      </w:pPr>
      <w:r w:rsidRPr="0074610B">
        <w:rPr>
          <w:rFonts w:eastAsia="Calibri"/>
          <w:b/>
          <w:sz w:val="22"/>
          <w:szCs w:val="22"/>
          <w:lang w:eastAsia="en-US"/>
        </w:rPr>
        <w:t xml:space="preserve">Art. 42, paragrafo 2: </w:t>
      </w:r>
      <w:r w:rsidRPr="0074610B">
        <w:rPr>
          <w:rFonts w:eastAsia="Calibri"/>
          <w:sz w:val="22"/>
          <w:szCs w:val="22"/>
          <w:lang w:eastAsia="en-US"/>
        </w:rPr>
        <w:t>in caso di strumenti azionari o di micro-credito, i costi e le commissioni di gestione capitalizzati da pagare per un periodo non superiore ai sei anni successivi al periodo di ammissibilità.</w:t>
      </w:r>
    </w:p>
    <w:p w:rsidR="0074610B" w:rsidRPr="0074610B" w:rsidRDefault="0074610B" w:rsidP="00BE7ABC">
      <w:pPr>
        <w:numPr>
          <w:ilvl w:val="0"/>
          <w:numId w:val="38"/>
        </w:numPr>
        <w:spacing w:after="160" w:line="259" w:lineRule="auto"/>
        <w:contextualSpacing/>
        <w:jc w:val="both"/>
        <w:rPr>
          <w:rFonts w:eastAsia="Calibri"/>
          <w:sz w:val="22"/>
          <w:szCs w:val="22"/>
          <w:lang w:eastAsia="en-US"/>
        </w:rPr>
      </w:pPr>
      <w:r w:rsidRPr="0074610B">
        <w:rPr>
          <w:rFonts w:eastAsia="Calibri"/>
          <w:b/>
          <w:sz w:val="22"/>
          <w:szCs w:val="22"/>
          <w:lang w:eastAsia="en-US"/>
        </w:rPr>
        <w:t xml:space="preserve">Art. 42, paragrafo 3: </w:t>
      </w:r>
      <w:r w:rsidRPr="0074610B">
        <w:rPr>
          <w:rFonts w:eastAsia="Calibri"/>
          <w:sz w:val="22"/>
          <w:szCs w:val="22"/>
          <w:lang w:eastAsia="en-US"/>
        </w:rPr>
        <w:t>In caso di strumenti azionari, un importo limitato di pagamenti per investimenti nei destinatari finali da effettuarsi per un periodo non superiore a quattro anni dopo il termine per l’ammissibilità delle spese.</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Le precedenti voci di spesa possono essere dettagliate nei termini seguenti.</w:t>
      </w:r>
    </w:p>
    <w:p w:rsidR="0074610B" w:rsidRPr="0074610B" w:rsidRDefault="0074610B" w:rsidP="00BE7ABC">
      <w:pPr>
        <w:numPr>
          <w:ilvl w:val="0"/>
          <w:numId w:val="39"/>
        </w:numPr>
        <w:spacing w:before="360" w:after="240" w:line="259" w:lineRule="auto"/>
        <w:ind w:left="1066" w:hanging="357"/>
        <w:contextualSpacing/>
        <w:jc w:val="both"/>
        <w:rPr>
          <w:rFonts w:eastAsia="Calibri"/>
          <w:i/>
          <w:sz w:val="22"/>
          <w:szCs w:val="22"/>
          <w:u w:val="single"/>
          <w:lang w:eastAsia="en-US"/>
        </w:rPr>
      </w:pPr>
      <w:r w:rsidRPr="0074610B">
        <w:rPr>
          <w:rFonts w:eastAsia="Calibri"/>
          <w:i/>
          <w:sz w:val="22"/>
          <w:szCs w:val="22"/>
          <w:u w:val="single"/>
          <w:lang w:eastAsia="en-US"/>
        </w:rPr>
        <w:t>Art. 42, paragrafo 1, lettera a: pagamenti ai destinatari finali (ed esempio a titolo di finanziamenti o di investimenti in capitale di rischio)</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Costituiscono spese ammissibili tutti i pagamenti a favore dei destinatari finali sotto forma di prestiti o di investimenti nel capitale di rischio o di prodotti intermedi (es. prestito mezzanino). </w:t>
      </w:r>
    </w:p>
    <w:p w:rsidR="0074610B" w:rsidRPr="0074610B" w:rsidRDefault="0074610B" w:rsidP="00BE7ABC">
      <w:pPr>
        <w:numPr>
          <w:ilvl w:val="0"/>
          <w:numId w:val="39"/>
        </w:numPr>
        <w:spacing w:before="360" w:after="240" w:line="259" w:lineRule="auto"/>
        <w:ind w:left="1066" w:hanging="357"/>
        <w:contextualSpacing/>
        <w:jc w:val="both"/>
        <w:rPr>
          <w:rFonts w:eastAsia="Calibri"/>
          <w:i/>
          <w:sz w:val="22"/>
          <w:szCs w:val="22"/>
          <w:u w:val="single"/>
          <w:lang w:eastAsia="en-US"/>
        </w:rPr>
      </w:pPr>
      <w:r w:rsidRPr="0074610B">
        <w:rPr>
          <w:rFonts w:eastAsia="Calibri"/>
          <w:i/>
          <w:sz w:val="22"/>
          <w:szCs w:val="22"/>
          <w:u w:val="single"/>
          <w:lang w:eastAsia="en-US"/>
        </w:rPr>
        <w:t>a)</w:t>
      </w:r>
      <w:r w:rsidRPr="0074610B">
        <w:rPr>
          <w:rFonts w:eastAsia="Calibri"/>
          <w:i/>
          <w:sz w:val="22"/>
          <w:szCs w:val="22"/>
          <w:u w:val="single"/>
          <w:lang w:eastAsia="en-US"/>
        </w:rPr>
        <w:tab/>
        <w:t xml:space="preserve">Art. 42, paragrafo 1, lettera a: contributi erogati tramite altre forme di sostegno, combinate con gli strumenti finanziari in un’unica operazione ai sensi dell’articolo 37, paragrafo 7, del regolamento 1303/2013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Pagamenti a beneficio dei destinatari finali, erogati dallo strumento finanziario in altre forme (es. abbuono interessi, abbuoni di commissioni di garanzia, assistenza tecnica), che possano essere considerate connesse all’intervento dello strumento finanziario e di conseguenza essere trattate come </w:t>
      </w:r>
      <w:r w:rsidRPr="0074610B">
        <w:rPr>
          <w:rFonts w:eastAsia="Calibri"/>
          <w:sz w:val="22"/>
          <w:szCs w:val="22"/>
          <w:lang w:eastAsia="en-US"/>
        </w:rPr>
        <w:lastRenderedPageBreak/>
        <w:t xml:space="preserve">un’unica operazione ai fini delle dichiarazioni di spesa e conseguente richiesta di rimborso della quota FEASR.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Ai sensi dell’articolo 37, paragrafo 7, del regolamento 1303/2013 infatti, nel caso in cui gli strumenti finanziari siano combinati con forme di sostegno ad essi direttamente connesse, alle stesse si applicano le medesime norme applicabili al sostegno degli strumenti finanziari e l’intervento di sostegno a favore del destinatario finale è considerato come un’unica operazione.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Ciò implica che anche le risorse destinate a tali forme di sostegno (es. abbuoni interesse) sono versate allo strumento finanziario che provvede a trasferirle al destinatario finale insieme con il prodotto finanziario specifico della propria attività (es. un prestito). </w:t>
      </w:r>
    </w:p>
    <w:p w:rsidR="0074610B" w:rsidRPr="0074610B" w:rsidRDefault="0074610B" w:rsidP="00BE7ABC">
      <w:pPr>
        <w:numPr>
          <w:ilvl w:val="0"/>
          <w:numId w:val="39"/>
        </w:numPr>
        <w:spacing w:before="360" w:after="240" w:line="259" w:lineRule="auto"/>
        <w:ind w:left="1066" w:hanging="357"/>
        <w:contextualSpacing/>
        <w:jc w:val="both"/>
        <w:rPr>
          <w:rFonts w:eastAsia="Calibri"/>
          <w:i/>
          <w:sz w:val="22"/>
          <w:szCs w:val="22"/>
          <w:u w:val="single"/>
          <w:lang w:eastAsia="en-US"/>
        </w:rPr>
      </w:pPr>
      <w:r w:rsidRPr="0074610B">
        <w:rPr>
          <w:rFonts w:eastAsia="Calibri"/>
          <w:i/>
          <w:sz w:val="22"/>
          <w:szCs w:val="22"/>
          <w:u w:val="single"/>
          <w:lang w:eastAsia="en-US"/>
        </w:rPr>
        <w:t>Art. 42, paragrafo 1, lettera b: nel caso dei fondi di garanzia, il totale delle risorse accantonate a fronte di ciascuna garanzia rilasciata nel corso del periodo di programmazione</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Nel caso dei fondi di garanzia costituisce spesa ammissibili il totale delle risorse accantonate a fronte di ciascuna garanzia rilasciata dal fondo nel corso del periodo si ammissibilità delle spese, a copertura del rischio di perdite future attese e inattese.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L’importo è determinato sommando il valore iniziale dell’accantonamento relativo a ciascuna garanzia rilasciata, includendo sia i contratti ancora in essere sia quelli giunti a scadenza a seguito del completo rimborso del prestito da parte del destinatario finale o del pagamento della garanzia a seguito di inadempimento del soggetto garantito.</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L’entità dell’accantonamento per ciascuna garanzia rilasciata (espressa come percentuale del valore della garanzia) è definito dal gestore del fondo sulla base di una prudente valutazione ex ante del rischio di perdita attesa e inattesa che grava sullo specifico prodotto di garanzia offerto, considerando le specifiche condizioni del mercato di riferimento, la strategia di investimento del fondo, i principi di economicità ed efficienza. La percentuale di accantonamento è condivisa con l’Autorità di gestione e fissata nell’Accordo di finanziamento.</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Ai sensi dell’articolo 8 del regolamento 480/2014, l’applicazione della suddetta percentuale di accantonamento si traduce in un coefficiente di moltiplicazione tra l’importo del contributo del PSR al fondo ed il valore totale delle garanzie rilasciate. Qualora, a chiusura del programma, l’importo totale delle garanzie non rispetti il suddetto moltiplicatore, la spesa ammissibile è ridotta in maniera proporzionale.</w:t>
      </w:r>
    </w:p>
    <w:p w:rsidR="0074610B" w:rsidRPr="0074610B" w:rsidRDefault="0074610B" w:rsidP="00BE7ABC">
      <w:pPr>
        <w:numPr>
          <w:ilvl w:val="0"/>
          <w:numId w:val="39"/>
        </w:numPr>
        <w:spacing w:before="360" w:after="240" w:line="259" w:lineRule="auto"/>
        <w:ind w:left="1066" w:hanging="357"/>
        <w:contextualSpacing/>
        <w:jc w:val="both"/>
        <w:rPr>
          <w:rFonts w:eastAsia="Calibri"/>
          <w:i/>
          <w:sz w:val="22"/>
          <w:szCs w:val="22"/>
          <w:u w:val="single"/>
          <w:lang w:eastAsia="en-US"/>
        </w:rPr>
      </w:pPr>
      <w:r w:rsidRPr="0074610B">
        <w:rPr>
          <w:rFonts w:eastAsia="Calibri"/>
          <w:i/>
          <w:sz w:val="22"/>
          <w:szCs w:val="22"/>
          <w:u w:val="single"/>
          <w:lang w:eastAsia="en-US"/>
        </w:rPr>
        <w:t>Art. 42, paragrafo 1, lettera d: rimborso dei costi di gestione sostenuti o pagamento delle commissioni di gestione dello strumento finanziario.</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 costi per la gestione dello strumento finanziario costituiscono spese ammissibili e ai sensi dell’articolo 42, paragrafo 5, possono essere computati alternativamente in due forme:</w:t>
      </w:r>
    </w:p>
    <w:p w:rsidR="0074610B" w:rsidRPr="0074610B" w:rsidRDefault="0074610B" w:rsidP="00BE7ABC">
      <w:pPr>
        <w:numPr>
          <w:ilvl w:val="0"/>
          <w:numId w:val="32"/>
        </w:numPr>
        <w:spacing w:after="160" w:line="259" w:lineRule="auto"/>
        <w:ind w:left="1776"/>
        <w:contextualSpacing/>
        <w:jc w:val="both"/>
        <w:rPr>
          <w:rFonts w:eastAsia="Calibri"/>
          <w:sz w:val="22"/>
          <w:szCs w:val="22"/>
          <w:lang w:eastAsia="en-US"/>
        </w:rPr>
      </w:pPr>
      <w:r w:rsidRPr="0074610B">
        <w:rPr>
          <w:rFonts w:eastAsia="Calibri"/>
          <w:sz w:val="22"/>
          <w:szCs w:val="22"/>
          <w:lang w:eastAsia="en-US"/>
        </w:rPr>
        <w:t>Costi di gestione: costi diretti o indiretti rimborsati a fronte di giustificativi di spesa;</w:t>
      </w:r>
    </w:p>
    <w:p w:rsidR="0074610B" w:rsidRPr="0074610B" w:rsidRDefault="0074610B" w:rsidP="00BE7ABC">
      <w:pPr>
        <w:numPr>
          <w:ilvl w:val="0"/>
          <w:numId w:val="32"/>
        </w:numPr>
        <w:spacing w:after="160" w:line="259" w:lineRule="auto"/>
        <w:ind w:left="1776"/>
        <w:contextualSpacing/>
        <w:jc w:val="both"/>
        <w:rPr>
          <w:rFonts w:eastAsia="Calibri"/>
          <w:sz w:val="22"/>
          <w:szCs w:val="22"/>
          <w:lang w:eastAsia="en-US"/>
        </w:rPr>
      </w:pPr>
      <w:r w:rsidRPr="0074610B">
        <w:rPr>
          <w:rFonts w:eastAsia="Calibri"/>
          <w:sz w:val="22"/>
          <w:szCs w:val="22"/>
          <w:lang w:eastAsia="en-US"/>
        </w:rPr>
        <w:t>Commissioni di gestione: prezzo concordato per i servizi resi dal gestore definiti, se del caso, tramite una procedura competitiva di mercato.</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Con riferimento ai costi di gestione, questi possono includere i costi sostenuti dal gestore del fondo per la preparazione delle decisioni di investimento ed il successivo monitoraggio degli stessi (es. studi tecnici, audit, pareri legali ecc.). Non sono inclusi costi che siano connessi alla preparazione o implementazione dei progetti o piani di investimento individuali dei destinatari finali, quali costi per autorizzazioni, studi di fattibilità tecnica, costi per la gestione del progetto ecc., che costituiscono parte del costo dell’investimento a carico del destinatario finale.</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Le spese per il rilascio del prodotto finanziario (es. prestito) eventualmente poste a carico del destinatario finale non possono essere incluse nei costi di gestione per evitare che il gestore ottenga un doppio rimborso.</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A titolo di esempio, possono essere considerate spese ammissibili i seguenti costi:</w:t>
      </w:r>
    </w:p>
    <w:p w:rsidR="0074610B" w:rsidRPr="0074610B" w:rsidRDefault="0074610B" w:rsidP="00BE7ABC">
      <w:pPr>
        <w:numPr>
          <w:ilvl w:val="0"/>
          <w:numId w:val="40"/>
        </w:numPr>
        <w:spacing w:after="160" w:line="259" w:lineRule="auto"/>
        <w:contextualSpacing/>
        <w:jc w:val="both"/>
        <w:rPr>
          <w:rFonts w:eastAsia="Calibri"/>
          <w:sz w:val="22"/>
          <w:szCs w:val="22"/>
          <w:lang w:eastAsia="en-US"/>
        </w:rPr>
      </w:pPr>
      <w:r w:rsidRPr="0074610B">
        <w:rPr>
          <w:rFonts w:eastAsia="Calibri"/>
          <w:sz w:val="22"/>
          <w:szCs w:val="22"/>
          <w:lang w:eastAsia="en-US"/>
        </w:rPr>
        <w:lastRenderedPageBreak/>
        <w:t>costi di personale, incluse spese di viaggio compresi vitto e alloggio, costo degli uffici, attrezzature, sistemi IT, cancelleria e altri materiali di consumo, direttamente connessi alla gestione e investimento delle risorse PSR versate allo strumento; costi sostenuti per attività quali selezioni e bandi, controlli, monitoraggio e reporting, consulenze, informazione e pubblicità;</w:t>
      </w:r>
    </w:p>
    <w:p w:rsidR="0074610B" w:rsidRPr="0074610B" w:rsidRDefault="0074610B" w:rsidP="00BE7ABC">
      <w:pPr>
        <w:numPr>
          <w:ilvl w:val="0"/>
          <w:numId w:val="40"/>
        </w:numPr>
        <w:spacing w:after="160" w:line="259" w:lineRule="auto"/>
        <w:contextualSpacing/>
        <w:jc w:val="both"/>
        <w:rPr>
          <w:rFonts w:eastAsia="Calibri"/>
          <w:sz w:val="22"/>
          <w:szCs w:val="22"/>
          <w:lang w:eastAsia="en-US"/>
        </w:rPr>
      </w:pPr>
      <w:r w:rsidRPr="0074610B">
        <w:rPr>
          <w:rFonts w:eastAsia="Calibri"/>
          <w:sz w:val="22"/>
          <w:szCs w:val="22"/>
          <w:lang w:eastAsia="en-US"/>
        </w:rPr>
        <w:t>costi generali del gestore, calcolati sulla base dei costi reali e allocati pro rata alle operazioni PSR sulla base di una metodologia debitamente giustificata, corretta ed equa.</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In linea generale le spese e commissioni di gestione sono ammissibili a partire dalla data di sottoscrizione dell’Accordo di finanziamento. I costi sostenuti nell’ambito delle attività preparatorie e di implementazione dello strumento, anteriori alla sottoscrizione dell’accordo, sono comunque considerate ammissibili qualora successive alla data della decisione formale con cui il gestore è stato selezionato o individuato dall’Autorità di gestione.</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Il termine di ammissibilità coincide con il termine ultimo per l’ammissibilità delle spese del Programma.</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Indipendentemente dalla scelta tra costi o commissioni di gestione, il calcolo delle spese ammissibili è fatto in conformità ai criteri e ai massimali previsti dagli articoli 12 e 13 del regolamento 480/2014.</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Ai sensi dell’articolo 12 del regolamento delegato 480/2014, i costi o le commissioni riconosciuti al gestore devono essere calcolati sulla base di criteri orientati ai risultati, e in particolare:</w:t>
      </w:r>
    </w:p>
    <w:p w:rsidR="0074610B" w:rsidRPr="0074610B" w:rsidRDefault="0074610B" w:rsidP="0074610B">
      <w:pPr>
        <w:spacing w:after="160" w:line="259" w:lineRule="auto"/>
        <w:ind w:left="1416"/>
        <w:jc w:val="both"/>
        <w:rPr>
          <w:rFonts w:eastAsia="Calibri"/>
          <w:sz w:val="22"/>
          <w:szCs w:val="22"/>
          <w:lang w:eastAsia="en-US"/>
        </w:rPr>
      </w:pPr>
      <w:r w:rsidRPr="0074610B">
        <w:rPr>
          <w:rFonts w:eastAsia="Calibri"/>
          <w:sz w:val="22"/>
          <w:szCs w:val="22"/>
          <w:lang w:eastAsia="en-US"/>
        </w:rPr>
        <w:t>a) l'erogazione dei contributi forniti dal programma sostenuto da fondi SIE;</w:t>
      </w:r>
    </w:p>
    <w:p w:rsidR="0074610B" w:rsidRPr="0074610B" w:rsidRDefault="0074610B" w:rsidP="0074610B">
      <w:pPr>
        <w:spacing w:after="160" w:line="259" w:lineRule="auto"/>
        <w:ind w:left="1416"/>
        <w:jc w:val="both"/>
        <w:rPr>
          <w:rFonts w:eastAsia="Calibri"/>
          <w:sz w:val="22"/>
          <w:szCs w:val="22"/>
          <w:lang w:eastAsia="en-US"/>
        </w:rPr>
      </w:pPr>
      <w:r w:rsidRPr="0074610B">
        <w:rPr>
          <w:rFonts w:eastAsia="Calibri"/>
          <w:sz w:val="22"/>
          <w:szCs w:val="22"/>
          <w:lang w:eastAsia="en-US"/>
        </w:rPr>
        <w:t>b) le risorse restituite a fronte degli investimenti o dello sblocco delle risorse impegnate per i contratti di garanzia;</w:t>
      </w:r>
    </w:p>
    <w:p w:rsidR="0074610B" w:rsidRPr="0074610B" w:rsidRDefault="0074610B" w:rsidP="0074610B">
      <w:pPr>
        <w:spacing w:after="160" w:line="259" w:lineRule="auto"/>
        <w:ind w:left="1416"/>
        <w:jc w:val="both"/>
        <w:rPr>
          <w:rFonts w:eastAsia="Calibri"/>
          <w:sz w:val="22"/>
          <w:szCs w:val="22"/>
          <w:lang w:eastAsia="en-US"/>
        </w:rPr>
      </w:pPr>
      <w:r w:rsidRPr="0074610B">
        <w:rPr>
          <w:rFonts w:eastAsia="Calibri"/>
          <w:sz w:val="22"/>
          <w:szCs w:val="22"/>
          <w:lang w:eastAsia="en-US"/>
        </w:rPr>
        <w:t>c) la qualità delle misure di accompagnamento che precedono e seguono la decisione di investimento per massimizzare l'impatto dell'investimento;</w:t>
      </w:r>
    </w:p>
    <w:p w:rsidR="0074610B" w:rsidRPr="0074610B" w:rsidRDefault="0074610B" w:rsidP="0074610B">
      <w:pPr>
        <w:spacing w:after="160" w:line="259" w:lineRule="auto"/>
        <w:ind w:left="1416"/>
        <w:jc w:val="both"/>
        <w:rPr>
          <w:rFonts w:eastAsia="Calibri"/>
          <w:sz w:val="22"/>
          <w:szCs w:val="22"/>
          <w:lang w:eastAsia="en-US"/>
        </w:rPr>
      </w:pPr>
      <w:r w:rsidRPr="0074610B">
        <w:rPr>
          <w:rFonts w:eastAsia="Calibri"/>
          <w:sz w:val="22"/>
          <w:szCs w:val="22"/>
          <w:lang w:eastAsia="en-US"/>
        </w:rPr>
        <w:t>d) il contributo dello strumento finanziario agli obiettivi e agli output del programma.</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La metodologia per l’applicazione dei suddetti criteri è definita dall’Autorità di gestione, che provvede a informare il Comitato di sorveglianza. In particolare, l’Autorità di gestione applica tali criteri definendo specifici obiettivi e target per il controllo delle performance del gestore.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Tale metodologia è inclusa nell’Accordo di finanziamento. Il Comitato di sorveglianza riceve inoltre relazioni annuali sui costi e sulle commissioni di gestione effettivamente pagati nel corso dell’anno solare precedente.</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 Costi e le commissioni di gestione rendicontabili come spese ammissibili sono comunque limitati entro le soglie previste dall’articolo 13, paragrafi 1, 2 e 3, del regolamento 480/2014. L’Autorità di gestione può fissare soglie inferiori nell’ambito dell’accordo di finanziamento.</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Il paragrafo 1 del citato articolo 13 fissa le soglie massime annuali nel caso di fondi di fondi. Nel paragrafo 2 sono riportate le soglie annuali applicabili agli organismi che gestiscono direttamente strumenti che investono nei destinatari finali. Le soglie sono distinte per tipologia di strumento e composte di due parti:</w:t>
      </w:r>
    </w:p>
    <w:p w:rsidR="0074610B" w:rsidRPr="0074610B" w:rsidRDefault="0074610B" w:rsidP="00BE7ABC">
      <w:pPr>
        <w:numPr>
          <w:ilvl w:val="0"/>
          <w:numId w:val="41"/>
        </w:numPr>
        <w:spacing w:after="160" w:line="259" w:lineRule="auto"/>
        <w:contextualSpacing/>
        <w:jc w:val="both"/>
        <w:rPr>
          <w:rFonts w:eastAsia="Calibri"/>
          <w:sz w:val="22"/>
          <w:szCs w:val="22"/>
          <w:lang w:eastAsia="en-US"/>
        </w:rPr>
      </w:pPr>
      <w:r w:rsidRPr="0074610B">
        <w:rPr>
          <w:rFonts w:eastAsia="Calibri"/>
          <w:sz w:val="22"/>
          <w:szCs w:val="22"/>
          <w:lang w:eastAsia="en-US"/>
        </w:rPr>
        <w:t>una remunerazione base, calcolata sulla base delle somme realmente versate allo strumento o impegnate per lo strumento sulla base dell’accordo di finanziamento nel caso di strumenti azionari;</w:t>
      </w:r>
    </w:p>
    <w:p w:rsidR="0074610B" w:rsidRPr="0074610B" w:rsidRDefault="0074610B" w:rsidP="00BE7ABC">
      <w:pPr>
        <w:numPr>
          <w:ilvl w:val="0"/>
          <w:numId w:val="41"/>
        </w:numPr>
        <w:spacing w:after="160" w:line="259" w:lineRule="auto"/>
        <w:contextualSpacing/>
        <w:jc w:val="both"/>
        <w:rPr>
          <w:rFonts w:eastAsia="Calibri"/>
          <w:sz w:val="22"/>
          <w:szCs w:val="22"/>
          <w:lang w:eastAsia="en-US"/>
        </w:rPr>
      </w:pPr>
      <w:r w:rsidRPr="0074610B">
        <w:rPr>
          <w:rFonts w:eastAsia="Calibri"/>
          <w:sz w:val="22"/>
          <w:szCs w:val="22"/>
          <w:lang w:eastAsia="en-US"/>
        </w:rPr>
        <w:t>una remunerazione basata sui risultati, il cui calcolo è basato sui pagamenti o gli accantonamenti per le garanzie rilasciate a favore dei destinatari finali anche qualora effettuati tramite il reinvestimento dei rientri attribuibili ai contributi del programma.</w:t>
      </w:r>
    </w:p>
    <w:p w:rsidR="0074610B" w:rsidRPr="0074610B" w:rsidRDefault="0074610B" w:rsidP="00B64D3F">
      <w:pPr>
        <w:spacing w:before="240" w:after="160" w:line="259" w:lineRule="auto"/>
        <w:ind w:left="709"/>
        <w:jc w:val="both"/>
        <w:rPr>
          <w:rFonts w:eastAsia="Calibri"/>
          <w:sz w:val="22"/>
          <w:szCs w:val="22"/>
          <w:lang w:eastAsia="en-US"/>
        </w:rPr>
      </w:pPr>
      <w:r w:rsidRPr="0074610B">
        <w:rPr>
          <w:rFonts w:eastAsia="Calibri"/>
          <w:sz w:val="22"/>
          <w:szCs w:val="22"/>
          <w:lang w:eastAsia="en-US"/>
        </w:rPr>
        <w:t xml:space="preserve">Il calcolo è effettuato </w:t>
      </w:r>
      <w:r w:rsidRPr="00B64D3F">
        <w:rPr>
          <w:rFonts w:eastAsia="Calibri"/>
          <w:sz w:val="22"/>
          <w:szCs w:val="22"/>
          <w:lang w:eastAsia="en-US"/>
        </w:rPr>
        <w:t xml:space="preserve">pro rata temporis </w:t>
      </w:r>
      <w:r w:rsidRPr="0074610B">
        <w:rPr>
          <w:rFonts w:eastAsia="Calibri"/>
          <w:sz w:val="22"/>
          <w:szCs w:val="22"/>
          <w:lang w:eastAsia="en-US"/>
        </w:rPr>
        <w:t>utilizzando le percentuali massime previste dal regolamento.</w:t>
      </w:r>
    </w:p>
    <w:p w:rsidR="00B64D3F" w:rsidRDefault="00B64D3F" w:rsidP="0074610B">
      <w:pPr>
        <w:spacing w:after="160" w:line="259" w:lineRule="auto"/>
        <w:ind w:left="708"/>
        <w:jc w:val="both"/>
        <w:rPr>
          <w:rFonts w:eastAsia="Calibri"/>
          <w:sz w:val="22"/>
          <w:szCs w:val="22"/>
          <w:lang w:eastAsia="en-US"/>
        </w:rPr>
      </w:pPr>
      <w:r>
        <w:rPr>
          <w:rFonts w:eastAsia="Calibri"/>
          <w:sz w:val="22"/>
          <w:szCs w:val="22"/>
          <w:lang w:eastAsia="en-US"/>
        </w:rPr>
        <w:lastRenderedPageBreak/>
        <w:t>Le soglie sono devono in ogni caso essere intese come valore aggregato riferito all’intero periodo di programmazione.</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Il paragrafo 3 prevede delle soglie massime, per i fondi di fondi e per le diverse tipologie di strumenti finanziari che operano direttamente a favore dei destinatari finali, in percentuale sul totale dei versamenti allo strumento nel corso del periodo di programmazione.</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Il valore totale della spesa ammissibile a titolo di costi o commissioni di gestione a chiusura del programma è quello più basso tra l’ammontare calcolato ai sensi del paragrafo 2 e quello derivante dall’applicazione delle soglie di cui al paragrafo 3 dell’articolo 13 del regolamento 480/2014.</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Ai sensi dell’articolo 13, paragrafo 4 del regolamento 480/2014, nel caso in cui uno stesso strumento operi contemporaneamente come fondo di fondi e come strumento finanziario le soglie non possono essere cumulate per lo stesso versamento del programma o per le medesime risorse reinvestite a seguito di rientri.</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Ai sensi del successivo paragrafo 5, nel caso in cui la maggioranza del capitale investito negli intermediari finanziari che forniscono capitale azionario proviene da investitori privati o da investitori pubblici che operano secondo il principio dell'economia di mercato e il contributo del programma è fornito a condizioni di parità con gli investitori privati, i costi e le commissioni di gestione devono essere conformi alle condizioni di mercato e non possono superare i costi e le commissioni di gestione pagabili dagli investitori privati.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Ai sensi dell’articolo 13, paragrafo 6 del regolamento 480/2014, le soglie di cui ai paragrafi 1, 2 e 3 del medesimo articolo possono essere superate nel caso in cui il gestore sia stato selezionato mediante una gara d'appalto conformemente alle norme applicabili e la gara d'appalto abbia dimostrato la necessità di costi e commissioni di gestione più elevati.</w:t>
      </w:r>
    </w:p>
    <w:p w:rsidR="0074610B" w:rsidRPr="0074610B" w:rsidRDefault="0074610B" w:rsidP="00BE7ABC">
      <w:pPr>
        <w:numPr>
          <w:ilvl w:val="0"/>
          <w:numId w:val="39"/>
        </w:numPr>
        <w:spacing w:before="360" w:after="240" w:line="259" w:lineRule="auto"/>
        <w:ind w:left="1066" w:hanging="357"/>
        <w:contextualSpacing/>
        <w:jc w:val="both"/>
        <w:rPr>
          <w:rFonts w:eastAsia="Calibri"/>
          <w:i/>
          <w:sz w:val="22"/>
          <w:szCs w:val="22"/>
          <w:u w:val="single"/>
          <w:lang w:eastAsia="en-US"/>
        </w:rPr>
      </w:pPr>
      <w:r w:rsidRPr="0074610B">
        <w:rPr>
          <w:rFonts w:eastAsia="Calibri"/>
          <w:i/>
          <w:sz w:val="22"/>
          <w:szCs w:val="22"/>
          <w:u w:val="single"/>
          <w:lang w:eastAsia="en-US"/>
        </w:rPr>
        <w:t>Art. 42, paragrafo 1, lettera c: gli abbuoni di interesse o gli abbuoni di commissioni di garanzia capitalizzati, utilizzati in combinazione con strumenti finanziari da pagare per un periodo non superiore ai dieci anni successivi al periodo di ammissibilità</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Nel caso di aiuti sotto forma di abbuono interessi o abbuono di commissioni di garanzia, utilizzati in combinazione con strumenti finanziari, oltre all’ammontare degli aiuti già erogati al termine del periodo di programmazione ai sensi di quanto previsto alla lettera b) del presente paragrafo, costituisce spesa ammissibile anche il valore attuale degli abbuoni interesse e abbuoni di commissioni di garanzia da corrispondere entro un periodo di non oltre 10 anni dal termine di ammissibilità delle spese, in relazione contratti relativi ad operazioni di finanziamento o di garanzia rilasciati ai destinatari finali entro il termine di ammissibilità delle spese.</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Al fine dell’ammissibilità, le suddette somme sono versate in un conto di garanzia aperto specificamente a tale scopo. Ai sensi dell’articolo 11, paragrafo 2 del regolamento 480/2014, Eventuali risorse residue del conto di garanzia al termine del periodo di dieci anni, o derivanti dall’imprevista liquidazione dello strumento prima della scadenza, sono utilizzate in conformità con l’articolo 45 del regolamento 1303/2013.</w:t>
      </w:r>
    </w:p>
    <w:p w:rsidR="0074610B" w:rsidRPr="0074610B" w:rsidRDefault="0074610B" w:rsidP="00BE7ABC">
      <w:pPr>
        <w:numPr>
          <w:ilvl w:val="0"/>
          <w:numId w:val="39"/>
        </w:numPr>
        <w:spacing w:before="360" w:after="240" w:line="259" w:lineRule="auto"/>
        <w:ind w:left="1066" w:hanging="357"/>
        <w:contextualSpacing/>
        <w:jc w:val="both"/>
        <w:rPr>
          <w:rFonts w:eastAsia="Calibri"/>
          <w:i/>
          <w:sz w:val="22"/>
          <w:szCs w:val="22"/>
          <w:u w:val="single"/>
          <w:lang w:eastAsia="en-US"/>
        </w:rPr>
      </w:pPr>
      <w:r w:rsidRPr="0074610B">
        <w:rPr>
          <w:rFonts w:eastAsia="Calibri"/>
          <w:i/>
          <w:sz w:val="22"/>
          <w:szCs w:val="22"/>
          <w:u w:val="single"/>
          <w:lang w:eastAsia="en-US"/>
        </w:rPr>
        <w:t>Art. 42, paragrafo 2: in caso di strumenti azionari o di micro-credito, i costi e le commissioni di gestione capitalizzati da pagare per un periodo non superiore ai sei anni successivi al periodo di ammissibilità</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In caso di strumenti azionari e di micro-credito, costituisce spesa ammissibile il valore attuale dei costi o delle commissioni di gestione da pagare per un periodo non superiore ai sei anni successivi al periodo di ammissibilità, per investimenti nei destinatari finali comunque effettuati entro il periodo di ammissibilità. Non può essere inclusa nel calcolo la quota di costi di gestione coperta tramite il reimpiego di risorse rientrate ai fondi nel corso del periodo di ammissibilità del programma o dopo il termine di ammissibilità ai sensi degli articoli 44 e 45 del regolamento 1303/2013.</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lastRenderedPageBreak/>
        <w:t>I costi e le commissioni di gestione sono limitati entro i massimali di cui all’articolo 14, paragrafi 2 e 3 del regolamento 480/2014.</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Ai fini dell’ammissibilità della spesa i suddetti costi sono versati in un conto di garanzia aperto specificamente a tale scopo. Ai sensi dell’articolo 14, paragrafo 4 del regolamento 480/2014, eventuali risorse residue del conto di garanzia al termine del periodo di sei anni, o derivanti dall’imprevista liquidazione dello strumento prima della scadenza, sono utilizzate in conformità con l’articolo 45 del regolamento 1303/2013.</w:t>
      </w:r>
    </w:p>
    <w:p w:rsidR="0074610B" w:rsidRPr="0074610B" w:rsidRDefault="0074610B" w:rsidP="00BE7ABC">
      <w:pPr>
        <w:numPr>
          <w:ilvl w:val="0"/>
          <w:numId w:val="39"/>
        </w:numPr>
        <w:spacing w:before="360" w:after="240" w:line="259" w:lineRule="auto"/>
        <w:ind w:left="1066" w:hanging="357"/>
        <w:contextualSpacing/>
        <w:jc w:val="both"/>
        <w:rPr>
          <w:rFonts w:eastAsia="Calibri"/>
          <w:i/>
          <w:sz w:val="22"/>
          <w:szCs w:val="22"/>
          <w:u w:val="single"/>
          <w:lang w:eastAsia="en-US"/>
        </w:rPr>
      </w:pPr>
      <w:r w:rsidRPr="0074610B">
        <w:rPr>
          <w:rFonts w:eastAsia="Calibri"/>
          <w:i/>
          <w:sz w:val="22"/>
          <w:szCs w:val="22"/>
          <w:u w:val="single"/>
          <w:lang w:eastAsia="en-US"/>
        </w:rPr>
        <w:t>Art. 42, paragrafo 3: In caso di strumenti azionari, un importo limitato di pagamenti per investimenti nei destinatari finali da effettuarsi per un periodo non superiore a quattro anni dopo il termine per l’ammissibilità delle spese</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Nel caso di strumenti azionari mirati alle imprese di cui all’articolo 37, paragrafo 4, per i quali l’accordo di finanziamento sia stato firmato entro il 31 dicembre 2017, che entro il termine del periodo di ammissibilità abbiano investito almeno il 55 per cento delle risorse previste a carico del programma sulla base dell’accordo di finanziamento, un importo limitato per di pagamenti per investimenti nei destinatari finali effettuati per un periodo non superiore ai quattro anni dopo la fine del periodo di ammissibilità. L’importo è versato in un fondo di garanzia aperto specificamente a tale scopo e utilizzato nel rispetto dei vincoli previsti dall’articolo 42, paragrafo 3, secondo comma del regolamento 1303/2013.</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Eventuali risorse residue del conto di garanzia al termine del periodo di 4 anni sono utilizzate in conformità con l’articolo 45 del regolamento 1303/2013.</w:t>
      </w:r>
    </w:p>
    <w:p w:rsidR="0074610B" w:rsidRPr="0074610B" w:rsidRDefault="0074610B" w:rsidP="002E391E">
      <w:pPr>
        <w:spacing w:before="240" w:after="160" w:line="259" w:lineRule="auto"/>
        <w:jc w:val="both"/>
        <w:rPr>
          <w:rFonts w:eastAsia="Calibri"/>
          <w:b/>
          <w:sz w:val="22"/>
          <w:szCs w:val="22"/>
          <w:lang w:eastAsia="en-US"/>
        </w:rPr>
      </w:pPr>
      <w:r w:rsidRPr="0074610B">
        <w:rPr>
          <w:rFonts w:eastAsia="Calibri"/>
          <w:b/>
          <w:sz w:val="22"/>
          <w:szCs w:val="22"/>
          <w:lang w:eastAsia="en-US"/>
        </w:rPr>
        <w:t>Interessi, altri proventi e reimpiego delle risorse entro il termine del periodo di ammissibilità</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 xml:space="preserve">Ai sensi dell’articolo 43 del regolamento 1303/2013, i versamenti agli strumenti finanziari sono depositati su conti correnti bancari e investiti conformemente ai principi della sana gestione finanziaria. </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Gli interessi e le altre plusvalenze imputabili al sostegno dei programmi sono utilizzati per le stesse finalità del versamento iniziale in conformità con quanto previsto dall’articolo 43, paragrafo 2 del regolamento 1303/2013.</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 xml:space="preserve">Ai sensi dell’articolo 44 del regolamento 1303/2013, le risorse rimborsate agli strumenti finanziari a fronte degli investimenti o del liberarsi delle risorse accantonate a fronte delle garanzie rilasciate, comprese le plusvalenze e i rimborsi in conto capitale e gli altri rendimenti, quali interessi, commissioni di garanzia, dividendi, redditi di capitale o altri introiti generati dagli investimenti, sono reimpiegate per le seguenti finalità, nei limiti degli importi necessari e nell'ordine concordato nei pertinenti accordi di finanziamento: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a) ulteriori investimenti attraverso lo stesso strumento finanziario o altri strumenti finanziari, conformemente agli specifici obiettivi del programma;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b) remunerazione preferenziale degli investitori privati, o degli investitori pubblici operanti secondo il principio dell'economia di mercato, che contribuiscono allo strumento finanziario o che co-investono a livello dei destinatari finali. La remunerazione preferenziale è soggetta ai limiti di cui all’articolo 44, paragrafo 1, ultimo comma del regolamento 1303/2013; </w:t>
      </w:r>
    </w:p>
    <w:p w:rsidR="0074610B" w:rsidRPr="0074610B" w:rsidRDefault="0074610B" w:rsidP="0074610B">
      <w:pPr>
        <w:spacing w:after="160" w:line="259" w:lineRule="auto"/>
        <w:ind w:left="708"/>
        <w:jc w:val="both"/>
        <w:rPr>
          <w:rFonts w:eastAsia="Calibri"/>
          <w:sz w:val="22"/>
          <w:szCs w:val="22"/>
          <w:lang w:eastAsia="en-US"/>
        </w:rPr>
      </w:pPr>
      <w:r w:rsidRPr="0074610B">
        <w:rPr>
          <w:rFonts w:eastAsia="Calibri"/>
          <w:sz w:val="22"/>
          <w:szCs w:val="22"/>
          <w:lang w:eastAsia="en-US"/>
        </w:rPr>
        <w:t xml:space="preserve">c) rimborso dei costi di gestione e pagamento delle commissioni di gestione dello strumento finanziario. </w:t>
      </w:r>
    </w:p>
    <w:p w:rsidR="0074610B" w:rsidRPr="0074610B" w:rsidRDefault="0074610B" w:rsidP="002E391E">
      <w:pPr>
        <w:spacing w:before="240" w:after="160" w:line="259" w:lineRule="auto"/>
        <w:jc w:val="both"/>
        <w:rPr>
          <w:rFonts w:eastAsia="Calibri"/>
          <w:b/>
          <w:sz w:val="22"/>
          <w:szCs w:val="22"/>
          <w:lang w:eastAsia="en-US"/>
        </w:rPr>
      </w:pPr>
      <w:r w:rsidRPr="0074610B">
        <w:rPr>
          <w:rFonts w:eastAsia="Calibri"/>
          <w:b/>
          <w:sz w:val="22"/>
          <w:szCs w:val="22"/>
          <w:lang w:eastAsia="en-US"/>
        </w:rPr>
        <w:t>Utilizzo delle risorse dopo la scadenza del periodo di ammissibilità</w:t>
      </w:r>
    </w:p>
    <w:p w:rsidR="0074610B" w:rsidRPr="0074610B" w:rsidRDefault="0074610B" w:rsidP="0074610B">
      <w:pPr>
        <w:spacing w:after="160" w:line="259" w:lineRule="auto"/>
        <w:jc w:val="both"/>
        <w:rPr>
          <w:rFonts w:eastAsia="Calibri"/>
          <w:sz w:val="22"/>
          <w:szCs w:val="22"/>
          <w:lang w:eastAsia="en-US"/>
        </w:rPr>
      </w:pPr>
      <w:r w:rsidRPr="0074610B">
        <w:rPr>
          <w:rFonts w:eastAsia="Calibri"/>
          <w:sz w:val="22"/>
          <w:szCs w:val="22"/>
          <w:lang w:eastAsia="en-US"/>
        </w:rPr>
        <w:t>Ai sensi dell’articolo 45 del regolamento 1303/2013, le risorse restituite agli strumenti finanziari, comprese le plusvalenze e i rimborsi in conto capitale e gli altri rendimenti, sono utilizzati conformemente alle finalità del programma, per un periodo di almeno otto anni dalla fine del periodo di ammissibilità delle spese:</w:t>
      </w:r>
    </w:p>
    <w:p w:rsidR="0074610B" w:rsidRPr="0074610B" w:rsidRDefault="0074610B" w:rsidP="00BE7ABC">
      <w:pPr>
        <w:numPr>
          <w:ilvl w:val="0"/>
          <w:numId w:val="33"/>
        </w:numPr>
        <w:spacing w:after="160" w:line="259" w:lineRule="auto"/>
        <w:contextualSpacing/>
        <w:jc w:val="both"/>
        <w:rPr>
          <w:rFonts w:eastAsia="Calibri"/>
          <w:sz w:val="22"/>
          <w:szCs w:val="22"/>
          <w:lang w:eastAsia="en-US"/>
        </w:rPr>
      </w:pPr>
      <w:r w:rsidRPr="0074610B">
        <w:rPr>
          <w:rFonts w:eastAsia="Calibri"/>
          <w:sz w:val="22"/>
          <w:szCs w:val="22"/>
          <w:lang w:eastAsia="en-US"/>
        </w:rPr>
        <w:lastRenderedPageBreak/>
        <w:t>nell’ambito del medesimo strumento finanziario, oppure, a seguito della liquidazione dello strumento in altri strumenti finanziari, purché in entrambi i casi una valutazione delle condizioni di mercato dimostri la necessità di mantenere tale investimento; oppure</w:t>
      </w:r>
    </w:p>
    <w:p w:rsidR="0074610B" w:rsidRPr="0074610B" w:rsidRDefault="0074610B" w:rsidP="00BE7ABC">
      <w:pPr>
        <w:numPr>
          <w:ilvl w:val="0"/>
          <w:numId w:val="33"/>
        </w:numPr>
        <w:spacing w:after="160" w:line="259" w:lineRule="auto"/>
        <w:contextualSpacing/>
        <w:jc w:val="both"/>
        <w:rPr>
          <w:rFonts w:eastAsia="Calibri"/>
          <w:sz w:val="22"/>
          <w:szCs w:val="22"/>
          <w:lang w:eastAsia="en-US"/>
        </w:rPr>
      </w:pPr>
      <w:r w:rsidRPr="0074610B">
        <w:rPr>
          <w:rFonts w:eastAsia="Calibri"/>
          <w:sz w:val="22"/>
          <w:szCs w:val="22"/>
          <w:lang w:eastAsia="en-US"/>
        </w:rPr>
        <w:t>tramite altre forme di sostegno.</w:t>
      </w:r>
    </w:p>
    <w:p w:rsidR="00273BE4" w:rsidRPr="0074610B" w:rsidRDefault="00273BE4" w:rsidP="00273BE4">
      <w:pPr>
        <w:pStyle w:val="Titolo2"/>
        <w:tabs>
          <w:tab w:val="left" w:pos="720"/>
        </w:tabs>
        <w:spacing w:before="120" w:after="120"/>
        <w:ind w:left="720" w:right="126" w:hanging="720"/>
        <w:rPr>
          <w:snapToGrid w:val="0"/>
        </w:rPr>
      </w:pPr>
    </w:p>
    <w:p w:rsidR="00330683" w:rsidRPr="002257F0" w:rsidRDefault="00746DDE" w:rsidP="00273BE4">
      <w:pPr>
        <w:pStyle w:val="Titolo2"/>
        <w:tabs>
          <w:tab w:val="left" w:pos="720"/>
        </w:tabs>
        <w:spacing w:before="120" w:after="120"/>
        <w:ind w:left="720" w:right="126" w:hanging="720"/>
        <w:rPr>
          <w:snapToGrid w:val="0"/>
        </w:rPr>
      </w:pPr>
      <w:bookmarkStart w:id="34" w:name="_Toc432090722"/>
      <w:r>
        <w:rPr>
          <w:snapToGrid w:val="0"/>
        </w:rPr>
        <w:t>3</w:t>
      </w:r>
      <w:r w:rsidR="00330683" w:rsidRPr="00330683">
        <w:rPr>
          <w:snapToGrid w:val="0"/>
        </w:rPr>
        <w:t>.</w:t>
      </w:r>
      <w:r w:rsidR="000E3CD6">
        <w:rPr>
          <w:snapToGrid w:val="0"/>
        </w:rPr>
        <w:t>1</w:t>
      </w:r>
      <w:r w:rsidR="00767656">
        <w:rPr>
          <w:snapToGrid w:val="0"/>
        </w:rPr>
        <w:t>5</w:t>
      </w:r>
      <w:r w:rsidR="00E93D22">
        <w:rPr>
          <w:snapToGrid w:val="0"/>
        </w:rPr>
        <w:t xml:space="preserve"> </w:t>
      </w:r>
      <w:r w:rsidR="00C12326">
        <w:rPr>
          <w:snapToGrid w:val="0"/>
        </w:rPr>
        <w:tab/>
      </w:r>
      <w:r w:rsidR="00330683" w:rsidRPr="002257F0">
        <w:rPr>
          <w:snapToGrid w:val="0"/>
        </w:rPr>
        <w:t>Spese generali</w:t>
      </w:r>
      <w:bookmarkEnd w:id="34"/>
    </w:p>
    <w:p w:rsidR="00330683" w:rsidRPr="007E6873" w:rsidRDefault="00330683" w:rsidP="00273BE4">
      <w:pPr>
        <w:tabs>
          <w:tab w:val="left" w:pos="465"/>
          <w:tab w:val="right" w:pos="8608"/>
        </w:tabs>
        <w:spacing w:before="120"/>
        <w:ind w:right="126"/>
        <w:jc w:val="both"/>
        <w:rPr>
          <w:i/>
          <w:snapToGrid w:val="0"/>
        </w:rPr>
      </w:pPr>
      <w:r w:rsidRPr="007E6873">
        <w:rPr>
          <w:snapToGrid w:val="0"/>
        </w:rPr>
        <w:t>L’art</w:t>
      </w:r>
      <w:r w:rsidR="00FD2CED">
        <w:rPr>
          <w:snapToGrid w:val="0"/>
        </w:rPr>
        <w:t>.</w:t>
      </w:r>
      <w:r w:rsidRPr="007E6873">
        <w:rPr>
          <w:snapToGrid w:val="0"/>
        </w:rPr>
        <w:t xml:space="preserve"> </w:t>
      </w:r>
      <w:r w:rsidR="00AB0D41">
        <w:rPr>
          <w:snapToGrid w:val="0"/>
        </w:rPr>
        <w:t>4</w:t>
      </w:r>
      <w:r w:rsidR="00AB0D41" w:rsidRPr="007E6873">
        <w:rPr>
          <w:snapToGrid w:val="0"/>
        </w:rPr>
        <w:t>5</w:t>
      </w:r>
      <w:r w:rsidR="000A1343">
        <w:rPr>
          <w:snapToGrid w:val="0"/>
        </w:rPr>
        <w:t xml:space="preserve">, </w:t>
      </w:r>
      <w:r w:rsidRPr="007E6873">
        <w:rPr>
          <w:snapToGrid w:val="0"/>
        </w:rPr>
        <w:t>comma</w:t>
      </w:r>
      <w:r w:rsidR="000A1343">
        <w:rPr>
          <w:snapToGrid w:val="0"/>
        </w:rPr>
        <w:t xml:space="preserve"> 2</w:t>
      </w:r>
      <w:r w:rsidRPr="007E6873">
        <w:rPr>
          <w:snapToGrid w:val="0"/>
        </w:rPr>
        <w:t xml:space="preserve">, lettera c) del Reg. </w:t>
      </w:r>
      <w:r w:rsidR="00FD2CED">
        <w:rPr>
          <w:snapToGrid w:val="0"/>
        </w:rPr>
        <w:t>(</w:t>
      </w:r>
      <w:r w:rsidR="00AB0D41">
        <w:rPr>
          <w:snapToGrid w:val="0"/>
        </w:rPr>
        <w:t>U</w:t>
      </w:r>
      <w:r w:rsidR="00AB0D41" w:rsidRPr="007E6873">
        <w:rPr>
          <w:snapToGrid w:val="0"/>
        </w:rPr>
        <w:t>E</w:t>
      </w:r>
      <w:r w:rsidR="00FD2CED">
        <w:rPr>
          <w:snapToGrid w:val="0"/>
        </w:rPr>
        <w:t>)</w:t>
      </w:r>
      <w:r w:rsidRPr="007E6873">
        <w:rPr>
          <w:snapToGrid w:val="0"/>
        </w:rPr>
        <w:t xml:space="preserve"> n. </w:t>
      </w:r>
      <w:r w:rsidR="00AB0D41">
        <w:rPr>
          <w:snapToGrid w:val="0"/>
        </w:rPr>
        <w:t>1305</w:t>
      </w:r>
      <w:r w:rsidRPr="007E6873">
        <w:rPr>
          <w:snapToGrid w:val="0"/>
        </w:rPr>
        <w:t>/</w:t>
      </w:r>
      <w:r w:rsidR="00AB0D41">
        <w:rPr>
          <w:snapToGrid w:val="0"/>
        </w:rPr>
        <w:t>13</w:t>
      </w:r>
      <w:r w:rsidRPr="007E6873">
        <w:rPr>
          <w:snapToGrid w:val="0"/>
        </w:rPr>
        <w:t>, fa riferimento a “</w:t>
      </w:r>
      <w:r w:rsidRPr="007E6873">
        <w:rPr>
          <w:i/>
          <w:snapToGrid w:val="0"/>
        </w:rPr>
        <w:t xml:space="preserve">spese generali collegate alle spese di cui alle lettere a) e </w:t>
      </w:r>
      <w:r w:rsidR="004C735F">
        <w:rPr>
          <w:i/>
          <w:snapToGrid w:val="0"/>
        </w:rPr>
        <w:t>b</w:t>
      </w:r>
      <w:r w:rsidRPr="007E6873">
        <w:rPr>
          <w:i/>
          <w:snapToGrid w:val="0"/>
        </w:rPr>
        <w:t xml:space="preserve">), come onorari di architetti, ingegneri e consulenti, </w:t>
      </w:r>
      <w:r w:rsidR="000A1343">
        <w:rPr>
          <w:i/>
          <w:snapToGrid w:val="0"/>
        </w:rPr>
        <w:t>compensi per consulenze in materia di sostenibilità ambientale e economica, compresi gli studi di fattibilità”.</w:t>
      </w:r>
    </w:p>
    <w:p w:rsidR="007D4638" w:rsidRDefault="007D4638" w:rsidP="00273BE4">
      <w:pPr>
        <w:tabs>
          <w:tab w:val="left" w:pos="465"/>
          <w:tab w:val="right" w:pos="8608"/>
        </w:tabs>
        <w:spacing w:before="120"/>
        <w:ind w:right="126"/>
        <w:jc w:val="both"/>
        <w:rPr>
          <w:snapToGrid w:val="0"/>
        </w:rPr>
      </w:pPr>
      <w:r>
        <w:rPr>
          <w:snapToGrid w:val="0"/>
        </w:rPr>
        <w:t>L</w:t>
      </w:r>
      <w:r w:rsidRPr="007E6873">
        <w:rPr>
          <w:snapToGrid w:val="0"/>
        </w:rPr>
        <w:t xml:space="preserve">e spese </w:t>
      </w:r>
      <w:r>
        <w:rPr>
          <w:snapToGrid w:val="0"/>
        </w:rPr>
        <w:t>generali</w:t>
      </w:r>
      <w:r w:rsidRPr="007E6873">
        <w:rPr>
          <w:snapToGrid w:val="0"/>
        </w:rPr>
        <w:t xml:space="preserve"> sono ammissibili quando direttamente </w:t>
      </w:r>
      <w:r>
        <w:rPr>
          <w:snapToGrid w:val="0"/>
        </w:rPr>
        <w:t>col</w:t>
      </w:r>
      <w:r w:rsidRPr="007E6873">
        <w:rPr>
          <w:snapToGrid w:val="0"/>
        </w:rPr>
        <w:t xml:space="preserve">legate all'operazione </w:t>
      </w:r>
      <w:r>
        <w:rPr>
          <w:snapToGrid w:val="0"/>
        </w:rPr>
        <w:t xml:space="preserve">finanziata </w:t>
      </w:r>
      <w:r w:rsidRPr="007E6873">
        <w:rPr>
          <w:snapToGrid w:val="0"/>
        </w:rPr>
        <w:t xml:space="preserve">e necessarie per la sua preparazione o esecuzione, ovvero quando connesse a disposizioni previste </w:t>
      </w:r>
      <w:r>
        <w:rPr>
          <w:snapToGrid w:val="0"/>
        </w:rPr>
        <w:t>dall’</w:t>
      </w:r>
      <w:r w:rsidR="00C12326">
        <w:rPr>
          <w:snapToGrid w:val="0"/>
        </w:rPr>
        <w:t>A</w:t>
      </w:r>
      <w:r>
        <w:rPr>
          <w:snapToGrid w:val="0"/>
        </w:rPr>
        <w:t>utorità di gestione di ciascun programma</w:t>
      </w:r>
      <w:r w:rsidRPr="000716F4">
        <w:rPr>
          <w:i/>
          <w:snapToGrid w:val="0"/>
        </w:rPr>
        <w:t>.</w:t>
      </w:r>
    </w:p>
    <w:p w:rsidR="00A51BB4" w:rsidRDefault="00330683" w:rsidP="00273BE4">
      <w:pPr>
        <w:tabs>
          <w:tab w:val="left" w:pos="465"/>
          <w:tab w:val="right" w:pos="8608"/>
        </w:tabs>
        <w:spacing w:before="120"/>
        <w:ind w:right="126"/>
        <w:jc w:val="both"/>
        <w:rPr>
          <w:snapToGrid w:val="0"/>
        </w:rPr>
      </w:pPr>
      <w:r w:rsidRPr="007E6873">
        <w:rPr>
          <w:snapToGrid w:val="0"/>
        </w:rPr>
        <w:t>Le spese generali possono essere attribuite all</w:t>
      </w:r>
      <w:r w:rsidR="007D4638">
        <w:rPr>
          <w:snapToGrid w:val="0"/>
        </w:rPr>
        <w:t xml:space="preserve">a pertinente </w:t>
      </w:r>
      <w:r w:rsidRPr="007E6873">
        <w:rPr>
          <w:snapToGrid w:val="0"/>
        </w:rPr>
        <w:t xml:space="preserve">attività </w:t>
      </w:r>
      <w:r w:rsidR="007D4638">
        <w:rPr>
          <w:snapToGrid w:val="0"/>
        </w:rPr>
        <w:t>per intero</w:t>
      </w:r>
      <w:r w:rsidR="008F782D">
        <w:rPr>
          <w:snapToGrid w:val="0"/>
        </w:rPr>
        <w:t>, qualora riferite unicamente al progetto finanziato,</w:t>
      </w:r>
      <w:r w:rsidR="007D4638">
        <w:rPr>
          <w:snapToGrid w:val="0"/>
        </w:rPr>
        <w:t xml:space="preserve"> o mediante </w:t>
      </w:r>
      <w:r w:rsidRPr="007E6873">
        <w:rPr>
          <w:snapToGrid w:val="0"/>
        </w:rPr>
        <w:t xml:space="preserve">l’applicazione di </w:t>
      </w:r>
      <w:r w:rsidR="007D4638">
        <w:rPr>
          <w:snapToGrid w:val="0"/>
        </w:rPr>
        <w:t>precisi</w:t>
      </w:r>
      <w:r w:rsidRPr="007E6873">
        <w:rPr>
          <w:snapToGrid w:val="0"/>
        </w:rPr>
        <w:t xml:space="preserve"> “criteri di imputazione”</w:t>
      </w:r>
      <w:r w:rsidR="007D4638">
        <w:rPr>
          <w:snapToGrid w:val="0"/>
        </w:rPr>
        <w:t>,</w:t>
      </w:r>
      <w:r w:rsidR="008F782D">
        <w:rPr>
          <w:snapToGrid w:val="0"/>
        </w:rPr>
        <w:t xml:space="preserve"> nel caso in cui le stesse siano in comune a più attività,</w:t>
      </w:r>
      <w:r w:rsidR="007D4638">
        <w:rPr>
          <w:snapToGrid w:val="0"/>
        </w:rPr>
        <w:t xml:space="preserve"> secondo</w:t>
      </w:r>
      <w:r w:rsidR="00284557" w:rsidRPr="007E6873">
        <w:rPr>
          <w:snapToGrid w:val="0"/>
        </w:rPr>
        <w:t xml:space="preserve"> </w:t>
      </w:r>
      <w:r w:rsidRPr="007E6873">
        <w:rPr>
          <w:snapToGrid w:val="0"/>
        </w:rPr>
        <w:t xml:space="preserve">un metodo </w:t>
      </w:r>
      <w:r w:rsidR="007D4638">
        <w:rPr>
          <w:snapToGrid w:val="0"/>
        </w:rPr>
        <w:t>di ripartizione oggettivo</w:t>
      </w:r>
      <w:r w:rsidR="008F782D">
        <w:rPr>
          <w:snapToGrid w:val="0"/>
        </w:rPr>
        <w:t>,</w:t>
      </w:r>
      <w:r w:rsidR="007D4638">
        <w:rPr>
          <w:snapToGrid w:val="0"/>
        </w:rPr>
        <w:t xml:space="preserve"> debitamente giustificato</w:t>
      </w:r>
      <w:r w:rsidR="008F782D">
        <w:rPr>
          <w:snapToGrid w:val="0"/>
        </w:rPr>
        <w:t xml:space="preserve"> e preventivamente definito </w:t>
      </w:r>
      <w:r w:rsidR="004A622A">
        <w:rPr>
          <w:snapToGrid w:val="0"/>
        </w:rPr>
        <w:t xml:space="preserve">dall’Autorità </w:t>
      </w:r>
      <w:r w:rsidR="008F782D">
        <w:rPr>
          <w:snapToGrid w:val="0"/>
        </w:rPr>
        <w:t>di gestione.</w:t>
      </w:r>
    </w:p>
    <w:p w:rsidR="00C56381" w:rsidRDefault="00C56381" w:rsidP="00273BE4">
      <w:pPr>
        <w:tabs>
          <w:tab w:val="left" w:pos="465"/>
          <w:tab w:val="right" w:pos="8608"/>
        </w:tabs>
        <w:spacing w:before="120"/>
        <w:ind w:right="126"/>
        <w:jc w:val="both"/>
        <w:rPr>
          <w:snapToGrid w:val="0"/>
        </w:rPr>
      </w:pPr>
      <w:r>
        <w:rPr>
          <w:snapToGrid w:val="0"/>
        </w:rPr>
        <w:t>I</w:t>
      </w:r>
      <w:r w:rsidR="00DB447A">
        <w:rPr>
          <w:snapToGrid w:val="0"/>
        </w:rPr>
        <w:t xml:space="preserve"> criteri d’imputazione</w:t>
      </w:r>
      <w:r w:rsidR="00B1590E">
        <w:rPr>
          <w:snapToGrid w:val="0"/>
        </w:rPr>
        <w:t xml:space="preserve"> di dette spese</w:t>
      </w:r>
      <w:r w:rsidR="00AB0D41">
        <w:rPr>
          <w:snapToGrid w:val="0"/>
        </w:rPr>
        <w:t xml:space="preserve"> sono stabiliti dalle Autorità di Gestione in base ad una delle forme di sovvenzione previste dall’art. 67 del Reg</w:t>
      </w:r>
      <w:r w:rsidR="00EB7EED">
        <w:rPr>
          <w:snapToGrid w:val="0"/>
        </w:rPr>
        <w:t>. (UE) n.</w:t>
      </w:r>
      <w:r w:rsidR="00AB0D41">
        <w:rPr>
          <w:snapToGrid w:val="0"/>
        </w:rPr>
        <w:t xml:space="preserve"> 1303/2013.</w:t>
      </w:r>
    </w:p>
    <w:p w:rsidR="005B1763" w:rsidRPr="00FB72A6" w:rsidRDefault="00330683" w:rsidP="00FB72A6">
      <w:pPr>
        <w:pStyle w:val="Corpodeltesto3"/>
        <w:spacing w:before="120" w:after="0"/>
        <w:ind w:right="126"/>
        <w:jc w:val="both"/>
        <w:rPr>
          <w:snapToGrid w:val="0"/>
          <w:sz w:val="24"/>
          <w:szCs w:val="24"/>
        </w:rPr>
      </w:pPr>
      <w:r w:rsidRPr="007E6873">
        <w:rPr>
          <w:snapToGrid w:val="0"/>
          <w:sz w:val="24"/>
          <w:szCs w:val="24"/>
        </w:rPr>
        <w:t>Nell’ambito delle spese generali rientrano anche le spese bancarie e legali</w:t>
      </w:r>
      <w:r w:rsidR="00A51BB4">
        <w:rPr>
          <w:snapToGrid w:val="0"/>
          <w:sz w:val="24"/>
          <w:szCs w:val="24"/>
        </w:rPr>
        <w:t>,</w:t>
      </w:r>
      <w:r w:rsidRPr="007E6873">
        <w:rPr>
          <w:snapToGrid w:val="0"/>
          <w:sz w:val="24"/>
          <w:szCs w:val="24"/>
        </w:rPr>
        <w:t xml:space="preserve"> quali parcelle per consulenze legali</w:t>
      </w:r>
      <w:r w:rsidR="00A51BB4">
        <w:rPr>
          <w:snapToGrid w:val="0"/>
          <w:sz w:val="24"/>
          <w:szCs w:val="24"/>
        </w:rPr>
        <w:t>,</w:t>
      </w:r>
      <w:r w:rsidRPr="007E6873">
        <w:rPr>
          <w:snapToGrid w:val="0"/>
          <w:sz w:val="24"/>
          <w:szCs w:val="24"/>
        </w:rPr>
        <w:t xml:space="preserve"> parcelle notarili</w:t>
      </w:r>
      <w:r w:rsidR="00A51BB4">
        <w:rPr>
          <w:snapToGrid w:val="0"/>
          <w:sz w:val="24"/>
          <w:szCs w:val="24"/>
        </w:rPr>
        <w:t>,</w:t>
      </w:r>
      <w:r w:rsidRPr="007E6873">
        <w:rPr>
          <w:snapToGrid w:val="0"/>
          <w:sz w:val="24"/>
          <w:szCs w:val="24"/>
        </w:rPr>
        <w:t xml:space="preserve"> spese per c</w:t>
      </w:r>
      <w:r w:rsidR="00A51BB4">
        <w:rPr>
          <w:snapToGrid w:val="0"/>
          <w:sz w:val="24"/>
          <w:szCs w:val="24"/>
        </w:rPr>
        <w:t>onsulenza tecnica e finanziaria,</w:t>
      </w:r>
      <w:r w:rsidRPr="007E6873">
        <w:rPr>
          <w:snapToGrid w:val="0"/>
          <w:sz w:val="24"/>
          <w:szCs w:val="24"/>
        </w:rPr>
        <w:t xml:space="preserve"> spese per </w:t>
      </w:r>
      <w:r w:rsidR="00A51BB4">
        <w:rPr>
          <w:snapToGrid w:val="0"/>
          <w:sz w:val="24"/>
          <w:szCs w:val="24"/>
        </w:rPr>
        <w:t xml:space="preserve">la </w:t>
      </w:r>
      <w:r w:rsidRPr="007E6873">
        <w:rPr>
          <w:snapToGrid w:val="0"/>
          <w:sz w:val="24"/>
          <w:szCs w:val="24"/>
        </w:rPr>
        <w:t>tenuta di conto corrente (purch</w:t>
      </w:r>
      <w:r w:rsidR="00A24FE2">
        <w:rPr>
          <w:snapToGrid w:val="0"/>
          <w:sz w:val="24"/>
          <w:szCs w:val="24"/>
        </w:rPr>
        <w:t>é</w:t>
      </w:r>
      <w:r w:rsidRPr="007E6873">
        <w:rPr>
          <w:snapToGrid w:val="0"/>
          <w:sz w:val="24"/>
          <w:szCs w:val="24"/>
        </w:rPr>
        <w:t xml:space="preserve"> trattasi di c/c appositamente aperto e dedicato all’operazione)</w:t>
      </w:r>
      <w:r w:rsidR="00257406" w:rsidRPr="007E6873">
        <w:rPr>
          <w:snapToGrid w:val="0"/>
          <w:sz w:val="24"/>
          <w:szCs w:val="24"/>
        </w:rPr>
        <w:t>;</w:t>
      </w:r>
      <w:r w:rsidRPr="007E6873">
        <w:rPr>
          <w:snapToGrid w:val="0"/>
          <w:sz w:val="24"/>
          <w:szCs w:val="24"/>
        </w:rPr>
        <w:t xml:space="preserve"> sono altresì ammissibili le spese per garanzie fide</w:t>
      </w:r>
      <w:r w:rsidR="00A51BB4">
        <w:rPr>
          <w:snapToGrid w:val="0"/>
          <w:sz w:val="24"/>
          <w:szCs w:val="24"/>
        </w:rPr>
        <w:t>i</w:t>
      </w:r>
      <w:r w:rsidRPr="007E6873">
        <w:rPr>
          <w:snapToGrid w:val="0"/>
          <w:sz w:val="24"/>
          <w:szCs w:val="24"/>
        </w:rPr>
        <w:t>ussorie</w:t>
      </w:r>
      <w:r w:rsidR="004C03DA">
        <w:rPr>
          <w:snapToGrid w:val="0"/>
          <w:sz w:val="24"/>
          <w:szCs w:val="24"/>
        </w:rPr>
        <w:t xml:space="preserve"> ai sensi degli articoli 45 e 63 del Reg. (UE) 1305/13</w:t>
      </w:r>
      <w:r w:rsidRPr="007E6873">
        <w:rPr>
          <w:snapToGrid w:val="0"/>
          <w:sz w:val="24"/>
          <w:szCs w:val="24"/>
        </w:rPr>
        <w:t>.</w:t>
      </w:r>
    </w:p>
    <w:p w:rsidR="005B1763" w:rsidRDefault="005B1763" w:rsidP="005B1763">
      <w:pPr>
        <w:spacing w:before="120"/>
        <w:ind w:right="126"/>
        <w:jc w:val="both"/>
      </w:pPr>
      <w:r>
        <w:t>Nell'ambito dei singoli provvedimenti attuativi, ciascuna Autorità di gestione fissa la percentuale massima di spesa riferibile alle spese generali, che comunque deve essere stabilita secondo un criterio oggettivo e dimostrabile.</w:t>
      </w:r>
    </w:p>
    <w:p w:rsidR="005B1763" w:rsidRDefault="005B1763" w:rsidP="005B1763">
      <w:pPr>
        <w:spacing w:before="120"/>
        <w:ind w:right="126"/>
        <w:jc w:val="both"/>
      </w:pPr>
      <w:r>
        <w:t>Fermo restando la percentuale fissata dall’Autorità di gestione, occorre comunque verificare, ove pertinente come ad esempio nel caso delle consulenze, la ragionevolezza dei costi. Si dovrà in questo caso fare riferimento a un sistema di valutazione adeguato,</w:t>
      </w:r>
      <w:r w:rsidR="002F1803">
        <w:t xml:space="preserve"> </w:t>
      </w:r>
      <w:r w:rsidR="00FB72A6">
        <w:t>per la cui individuazione si rimanda al paragrafo 2.2</w:t>
      </w:r>
      <w:r>
        <w:t>.</w:t>
      </w:r>
    </w:p>
    <w:p w:rsidR="005B1763" w:rsidRDefault="005B1763" w:rsidP="005B1763">
      <w:pPr>
        <w:spacing w:before="120"/>
        <w:ind w:right="126"/>
        <w:jc w:val="both"/>
      </w:pPr>
      <w:r>
        <w:t>Anche per le spese generali, è comunque possibile adottare le opzioni semplificate dei costi, quali ad esempio le somme forfettarie o i finanziamenti a tasso forfettario. Si rimanda a tal fine al paragrafo 3.8 delle presenti linee guida.</w:t>
      </w:r>
    </w:p>
    <w:p w:rsidR="005B1763" w:rsidRDefault="005B1763" w:rsidP="00273BE4">
      <w:pPr>
        <w:spacing w:before="120"/>
        <w:ind w:right="126"/>
        <w:jc w:val="both"/>
        <w:rPr>
          <w:snapToGrid w:val="0"/>
        </w:rPr>
      </w:pPr>
    </w:p>
    <w:p w:rsidR="00650068" w:rsidRPr="007E6873" w:rsidRDefault="00650068" w:rsidP="00C30FC2">
      <w:pPr>
        <w:spacing w:before="120"/>
        <w:ind w:right="125"/>
        <w:jc w:val="both"/>
        <w:rPr>
          <w:snapToGrid w:val="0"/>
        </w:rPr>
      </w:pPr>
    </w:p>
    <w:p w:rsidR="00284557" w:rsidRDefault="00746DDE" w:rsidP="00273BE4">
      <w:pPr>
        <w:pStyle w:val="Titolo2"/>
        <w:tabs>
          <w:tab w:val="left" w:pos="720"/>
        </w:tabs>
        <w:spacing w:before="120" w:after="0"/>
        <w:ind w:left="720" w:right="126" w:hanging="720"/>
      </w:pPr>
      <w:bookmarkStart w:id="35" w:name="_Toc432090723"/>
      <w:r>
        <w:t>3</w:t>
      </w:r>
      <w:r w:rsidR="00C373DD">
        <w:t>.</w:t>
      </w:r>
      <w:r w:rsidR="000E3CD6">
        <w:t>1</w:t>
      </w:r>
      <w:r w:rsidR="00767656">
        <w:t>6</w:t>
      </w:r>
      <w:r w:rsidR="00257406">
        <w:tab/>
      </w:r>
      <w:r w:rsidR="00C373DD" w:rsidRPr="00BC77F2">
        <w:t>Gestione dei flussi finanziari</w:t>
      </w:r>
      <w:r w:rsidR="00284557">
        <w:t xml:space="preserve"> e m</w:t>
      </w:r>
      <w:r w:rsidR="00284557" w:rsidRPr="00BC77F2">
        <w:t>odalità di pagamento</w:t>
      </w:r>
      <w:bookmarkEnd w:id="35"/>
    </w:p>
    <w:p w:rsidR="0076145F" w:rsidRDefault="0076145F" w:rsidP="00273BE4">
      <w:pPr>
        <w:ind w:right="126"/>
        <w:jc w:val="both"/>
      </w:pPr>
    </w:p>
    <w:p w:rsidR="0076145F" w:rsidRDefault="0076145F" w:rsidP="00273BE4">
      <w:pPr>
        <w:ind w:right="126"/>
        <w:jc w:val="both"/>
      </w:pPr>
      <w:r>
        <w:t>Nel caso di sovvenzioni, per rendere trasparenti e documentabili tutte le operazioni finanziarie connesse alla realizzazione degli interventi approvati, le spese potranno essere sostenute utilizzando esclusivamente conti bancari o postali intestati (o cointestati) al beneficiario. Non sono pertanto ammissibili pagamenti provenienti da conti correnti intestati ad altri soggetti, neppure nel caso in cui il beneficiario abbia la delega ad operare su di essi.</w:t>
      </w:r>
    </w:p>
    <w:p w:rsidR="008F777B" w:rsidRDefault="008F777B" w:rsidP="00273BE4">
      <w:pPr>
        <w:ind w:right="126"/>
        <w:jc w:val="both"/>
      </w:pPr>
    </w:p>
    <w:p w:rsidR="008F777B" w:rsidRDefault="008F777B" w:rsidP="00273BE4">
      <w:pPr>
        <w:ind w:right="126"/>
        <w:jc w:val="both"/>
      </w:pPr>
      <w:r>
        <w:lastRenderedPageBreak/>
        <w:t>Fa eccezione la sottomisura 17.1 (premio assicurativo per il raccolto, gli animali e le piante), per la quale in caso di polizze collettive il pagamento è effettuato dall’organismo collettivo di difesa e non dal beneficiario.</w:t>
      </w:r>
    </w:p>
    <w:p w:rsidR="00541B76" w:rsidRDefault="00541B76" w:rsidP="00273BE4">
      <w:pPr>
        <w:ind w:right="126"/>
        <w:jc w:val="both"/>
      </w:pPr>
    </w:p>
    <w:p w:rsidR="00991A59" w:rsidRDefault="00991A59" w:rsidP="00273BE4">
      <w:pPr>
        <w:ind w:right="126"/>
        <w:jc w:val="both"/>
      </w:pPr>
      <w:r>
        <w:t xml:space="preserve">Nel caso particolare di pagamento di una fornitura tramite finanziaria o istituto bancario, la spesa si considera sostenuta direttamente dal beneficiario, </w:t>
      </w:r>
      <w:r w:rsidR="00107919">
        <w:t>ancorché</w:t>
      </w:r>
      <w:r>
        <w:t xml:space="preserve"> l’importo non sia transitato sul suo conto corrente, ma sia direttamente trasmesso dall’istituto che eroga il prestito al fornitore del bene oggetto del contributo, unicamente qualora nel contratto di finanziamento si riscontrino le seguenti condizioni: </w:t>
      </w:r>
    </w:p>
    <w:p w:rsidR="00991A59" w:rsidRDefault="00991A59" w:rsidP="00BE7ABC">
      <w:pPr>
        <w:numPr>
          <w:ilvl w:val="3"/>
          <w:numId w:val="47"/>
        </w:numPr>
        <w:ind w:left="709" w:right="126" w:hanging="425"/>
        <w:jc w:val="both"/>
      </w:pPr>
      <w:r>
        <w:t xml:space="preserve">l’ordine di pagamento nei confronti del fornitore è dato dal beneficiario stesso alla banca erogatrice del prestito; </w:t>
      </w:r>
    </w:p>
    <w:p w:rsidR="00991A59" w:rsidRDefault="00991A59" w:rsidP="00BE7ABC">
      <w:pPr>
        <w:numPr>
          <w:ilvl w:val="3"/>
          <w:numId w:val="47"/>
        </w:numPr>
        <w:ind w:left="709" w:right="126" w:hanging="425"/>
        <w:jc w:val="both"/>
      </w:pPr>
      <w:r>
        <w:t xml:space="preserve">il bene risulta di proprietà del beneficiario e nessun privilegio speciale ex art. 46 viene istituito sul bene medesimo oggetto dell’acquisto cui è espressamente finalizzato il prestito, ma unicamente il privilegio legale (ex art. 44 </w:t>
      </w:r>
      <w:r w:rsidR="00F36476">
        <w:t>DLgs</w:t>
      </w:r>
      <w:r>
        <w:t xml:space="preserve"> 385/93) sui beni aziendali.</w:t>
      </w:r>
    </w:p>
    <w:p w:rsidR="0076145F" w:rsidRDefault="0076145F" w:rsidP="00225FE0">
      <w:pPr>
        <w:ind w:right="126"/>
        <w:jc w:val="both"/>
      </w:pPr>
    </w:p>
    <w:p w:rsidR="00225FE0" w:rsidRPr="00225FE0" w:rsidRDefault="00225FE0" w:rsidP="00225FE0">
      <w:pPr>
        <w:ind w:right="126"/>
        <w:jc w:val="both"/>
        <w:rPr>
          <w:bCs/>
        </w:rPr>
      </w:pPr>
      <w:r w:rsidRPr="00225FE0">
        <w:rPr>
          <w:bCs/>
        </w:rPr>
        <w:t>Analogamente al capoverso precedente, nell’ambito della sottomisura 17.1, la spesa si considera sostenuta direttamente dal beneficiario anche nel caso di pagamento del premio assicurativo da parte del Consorzio di difesa al quale tale beneficiario appartiene, ancorché l’importo non sia transitato sul suo conto corrente, ma sia direttamente trasmesso dal Consorzio alla Compagnia assicuratrice che emette il certificato di polizza.</w:t>
      </w:r>
    </w:p>
    <w:p w:rsidR="00225FE0" w:rsidRDefault="00225FE0" w:rsidP="00225FE0">
      <w:pPr>
        <w:ind w:right="126"/>
        <w:jc w:val="both"/>
      </w:pPr>
    </w:p>
    <w:p w:rsidR="00ED14B4" w:rsidRDefault="00991A59" w:rsidP="00273BE4">
      <w:pPr>
        <w:ind w:right="126"/>
        <w:jc w:val="both"/>
      </w:pPr>
      <w:r>
        <w:t>I</w:t>
      </w:r>
      <w:r w:rsidR="00ED14B4">
        <w:t>l beneficiario</w:t>
      </w:r>
      <w:r w:rsidR="004A2911">
        <w:t>,</w:t>
      </w:r>
      <w:r w:rsidR="00ED14B4">
        <w:t xml:space="preserve"> per dimostrare l’avvenuto pagamento</w:t>
      </w:r>
      <w:r w:rsidR="004A2911">
        <w:t xml:space="preserve"> </w:t>
      </w:r>
      <w:r w:rsidR="007512CC">
        <w:t>delle spese inerenti un progetto approvato</w:t>
      </w:r>
      <w:r w:rsidR="0091318A">
        <w:t xml:space="preserve">, </w:t>
      </w:r>
      <w:r w:rsidR="00273469">
        <w:t xml:space="preserve">con documenti intestati allo stesso, </w:t>
      </w:r>
      <w:r w:rsidR="00ED14B4">
        <w:t xml:space="preserve">utilizza le seguenti </w:t>
      </w:r>
      <w:r w:rsidR="00ED14B4" w:rsidRPr="00E93489">
        <w:t>modalità</w:t>
      </w:r>
      <w:r w:rsidR="00ED14B4">
        <w:t>:</w:t>
      </w:r>
    </w:p>
    <w:p w:rsidR="00807B87" w:rsidRDefault="00807B87" w:rsidP="00273BE4">
      <w:pPr>
        <w:ind w:right="126"/>
        <w:jc w:val="both"/>
      </w:pPr>
    </w:p>
    <w:p w:rsidR="000A6951" w:rsidRDefault="002E38FC" w:rsidP="00BE7ABC">
      <w:pPr>
        <w:numPr>
          <w:ilvl w:val="0"/>
          <w:numId w:val="51"/>
        </w:numPr>
        <w:ind w:right="126"/>
        <w:jc w:val="both"/>
      </w:pPr>
      <w:r>
        <w:t>B</w:t>
      </w:r>
      <w:r w:rsidR="00E864B5" w:rsidRPr="00E93489">
        <w:t xml:space="preserve">onifico </w:t>
      </w:r>
      <w:r w:rsidR="00ED14B4">
        <w:rPr>
          <w:bCs/>
        </w:rPr>
        <w:t xml:space="preserve">o </w:t>
      </w:r>
      <w:r w:rsidR="007512CC">
        <w:rPr>
          <w:bCs/>
        </w:rPr>
        <w:t>ricevuta bancaria</w:t>
      </w:r>
      <w:r w:rsidR="004A2911">
        <w:rPr>
          <w:bCs/>
        </w:rPr>
        <w:t xml:space="preserve"> (Riba)</w:t>
      </w:r>
      <w:r w:rsidR="007512CC" w:rsidRPr="00E93489">
        <w:t>.</w:t>
      </w:r>
      <w:r w:rsidR="00E864B5" w:rsidRPr="00E93489">
        <w:t xml:space="preserve"> </w:t>
      </w:r>
      <w:r w:rsidR="00506B3C">
        <w:t xml:space="preserve">Il </w:t>
      </w:r>
      <w:r w:rsidR="00E864B5" w:rsidRPr="00E93489">
        <w:t>beneficiario d</w:t>
      </w:r>
      <w:r w:rsidR="004A2911">
        <w:t>eve</w:t>
      </w:r>
      <w:r w:rsidR="00E864B5" w:rsidRPr="00E93489">
        <w:t xml:space="preserve"> produrre </w:t>
      </w:r>
      <w:r w:rsidR="00AE57E6">
        <w:t>la ricevuta del</w:t>
      </w:r>
      <w:r w:rsidR="00E864B5" w:rsidRPr="00E93489">
        <w:t xml:space="preserve"> bonifico</w:t>
      </w:r>
      <w:r w:rsidR="00B625CA">
        <w:t>,</w:t>
      </w:r>
      <w:r w:rsidR="00E864B5" w:rsidRPr="00E93489">
        <w:t xml:space="preserve"> </w:t>
      </w:r>
      <w:r w:rsidR="007512CC">
        <w:t xml:space="preserve"> </w:t>
      </w:r>
      <w:r w:rsidR="00E2260F">
        <w:t xml:space="preserve">la </w:t>
      </w:r>
      <w:r w:rsidR="007512CC">
        <w:t xml:space="preserve"> Riba</w:t>
      </w:r>
      <w:r w:rsidR="00B625CA">
        <w:t xml:space="preserve"> o altra documentazione equiparabile</w:t>
      </w:r>
      <w:r w:rsidR="00AE213F" w:rsidRPr="00E93489">
        <w:t xml:space="preserve">, </w:t>
      </w:r>
      <w:r w:rsidR="00E864B5" w:rsidRPr="00E93489">
        <w:t xml:space="preserve">con riferimento </w:t>
      </w:r>
      <w:r w:rsidR="004A2911">
        <w:t xml:space="preserve">a ciascun </w:t>
      </w:r>
      <w:r w:rsidR="00A75C0E">
        <w:t xml:space="preserve">documento di spesa </w:t>
      </w:r>
      <w:r w:rsidR="007512CC">
        <w:t>rendicontat</w:t>
      </w:r>
      <w:r w:rsidR="00A75C0E">
        <w:t>o</w:t>
      </w:r>
      <w:r w:rsidR="0091318A">
        <w:t>. Tale documentazione,</w:t>
      </w:r>
      <w:r w:rsidR="00AE213F" w:rsidRPr="00E93489">
        <w:t xml:space="preserve"> rilasciata dall’istituto di credito</w:t>
      </w:r>
      <w:r w:rsidR="0091318A">
        <w:t>,</w:t>
      </w:r>
      <w:r w:rsidR="00AE213F" w:rsidRPr="00E93489">
        <w:t xml:space="preserve"> d</w:t>
      </w:r>
      <w:r w:rsidR="004A2911">
        <w:t>eve</w:t>
      </w:r>
      <w:r w:rsidR="00AE213F" w:rsidRPr="00E93489">
        <w:t xml:space="preserve"> essere </w:t>
      </w:r>
      <w:r w:rsidR="00274D13">
        <w:t>allegata</w:t>
      </w:r>
      <w:r w:rsidR="00274D13" w:rsidRPr="00274D13">
        <w:t xml:space="preserve"> </w:t>
      </w:r>
      <w:r w:rsidR="00274D13">
        <w:t xml:space="preserve">al </w:t>
      </w:r>
      <w:r w:rsidR="00AE213F" w:rsidRPr="00E93489">
        <w:t xml:space="preserve">pertinente </w:t>
      </w:r>
      <w:r w:rsidR="00E476CB">
        <w:t>documento di spesa</w:t>
      </w:r>
      <w:r w:rsidR="00AE213F" w:rsidRPr="00E93489">
        <w:t>. Nel caso in cui il bonifico sia disposto tramite “home banking”, il beneficiario del contributo è tenuto a produrre la stampa dell’operazione dalla quale risulti la data ed il numero della transazione eseguita, oltre alla descrizione della causale dell’operazione</w:t>
      </w:r>
      <w:r w:rsidR="004A2911">
        <w:t xml:space="preserve"> </w:t>
      </w:r>
      <w:r w:rsidR="0091318A">
        <w:t xml:space="preserve">a cui la </w:t>
      </w:r>
      <w:r w:rsidR="004A2911">
        <w:t>stessa</w:t>
      </w:r>
      <w:r w:rsidR="0091318A">
        <w:t xml:space="preserve"> fa riferimento</w:t>
      </w:r>
      <w:r w:rsidR="00AE213F" w:rsidRPr="00E93489">
        <w:t xml:space="preserve">. </w:t>
      </w:r>
    </w:p>
    <w:p w:rsidR="004A638A" w:rsidRDefault="002E38FC" w:rsidP="00BE7ABC">
      <w:pPr>
        <w:numPr>
          <w:ilvl w:val="0"/>
          <w:numId w:val="51"/>
        </w:numPr>
        <w:spacing w:before="120"/>
        <w:ind w:right="126"/>
        <w:jc w:val="both"/>
      </w:pPr>
      <w:r>
        <w:t>A</w:t>
      </w:r>
      <w:r w:rsidR="00E864B5" w:rsidRPr="00E93489">
        <w:t>ssegno</w:t>
      </w:r>
      <w:r w:rsidR="004A2911">
        <w:t>. Tale modalità</w:t>
      </w:r>
      <w:r w:rsidR="00E864B5" w:rsidRPr="00E93489">
        <w:t xml:space="preserve"> può essere accettat</w:t>
      </w:r>
      <w:r w:rsidR="004A2911">
        <w:t>a</w:t>
      </w:r>
      <w:r w:rsidR="00E864B5" w:rsidRPr="00E93489">
        <w:t xml:space="preserve">, purché </w:t>
      </w:r>
      <w:r w:rsidR="004A2911">
        <w:t xml:space="preserve">l’assegno </w:t>
      </w:r>
      <w:r w:rsidR="001B173F" w:rsidRPr="00E93489">
        <w:t xml:space="preserve">sia sempre emesso con la dicitura “non trasferibile” e </w:t>
      </w:r>
      <w:r w:rsidR="00E864B5" w:rsidRPr="00E93489">
        <w:t xml:space="preserve">il beneficiario produca l’estratto conto </w:t>
      </w:r>
      <w:r w:rsidR="001B173F" w:rsidRPr="00E93489">
        <w:t xml:space="preserve">rilasciato dall’istituto di credito di appoggio </w:t>
      </w:r>
      <w:r w:rsidR="00E864B5" w:rsidRPr="00E93489">
        <w:t>riferito all’assegno con il quale è stato effettuato il pagamento</w:t>
      </w:r>
      <w:r w:rsidR="004A2911">
        <w:t xml:space="preserve"> e</w:t>
      </w:r>
      <w:r w:rsidR="00E864B5" w:rsidRPr="00E93489">
        <w:t xml:space="preserve">, </w:t>
      </w:r>
      <w:r w:rsidR="007512CC">
        <w:t>possibilmente</w:t>
      </w:r>
      <w:r w:rsidR="004A2911">
        <w:t>, la</w:t>
      </w:r>
      <w:r w:rsidR="007512CC" w:rsidRPr="00E93489">
        <w:t xml:space="preserve"> </w:t>
      </w:r>
      <w:r w:rsidR="00E864B5" w:rsidRPr="00E93489">
        <w:t>fotocopia dell’assegno emesso</w:t>
      </w:r>
      <w:r w:rsidR="0091318A">
        <w:t xml:space="preserve">. </w:t>
      </w:r>
      <w:r w:rsidR="007512CC">
        <w:t>Nel caso di pagamenti effettuati con assegni circolari e/o bancari</w:t>
      </w:r>
      <w:r w:rsidR="00445E0B">
        <w:t>,</w:t>
      </w:r>
      <w:r w:rsidR="007512CC">
        <w:t xml:space="preserve"> è consigliabile richiedere di allegare copia della "traenza" del </w:t>
      </w:r>
      <w:r w:rsidR="00445E0B">
        <w:t xml:space="preserve">pertinente </w:t>
      </w:r>
      <w:r w:rsidR="007512CC">
        <w:t>titolo rilasciata dall'istituto di credito</w:t>
      </w:r>
      <w:r w:rsidR="00E864B5" w:rsidRPr="00E93489">
        <w:t>.</w:t>
      </w:r>
    </w:p>
    <w:p w:rsidR="00A44DCF" w:rsidRDefault="00E500CA" w:rsidP="00BE7ABC">
      <w:pPr>
        <w:numPr>
          <w:ilvl w:val="0"/>
          <w:numId w:val="51"/>
        </w:numPr>
        <w:spacing w:before="120"/>
        <w:ind w:right="126"/>
        <w:jc w:val="both"/>
      </w:pPr>
      <w:r w:rsidRPr="00E500CA">
        <w:t>Carta di credito e/o bancomat. Tale modalità, può essere accettata, purché il beneficiario produca l’estratto conto rilasciato dall’istituto di credito di appoggio riferito all’operazione con il quale è stato effettuato il pagamento. Non sono ammessi pagamenti tramite carte prepagate</w:t>
      </w:r>
      <w:r>
        <w:t>.</w:t>
      </w:r>
    </w:p>
    <w:p w:rsidR="00257EDE" w:rsidRDefault="002E38FC" w:rsidP="00BE7ABC">
      <w:pPr>
        <w:numPr>
          <w:ilvl w:val="0"/>
          <w:numId w:val="51"/>
        </w:numPr>
        <w:spacing w:before="120"/>
        <w:ind w:left="714" w:right="125" w:hanging="357"/>
        <w:jc w:val="both"/>
      </w:pPr>
      <w:r>
        <w:t>B</w:t>
      </w:r>
      <w:r w:rsidR="00D64263">
        <w:t>ollettino postale</w:t>
      </w:r>
      <w:r w:rsidR="004A638A">
        <w:t xml:space="preserve"> effettuato tramite conto corrente postale</w:t>
      </w:r>
      <w:r w:rsidR="00D64263">
        <w:t xml:space="preserve">. </w:t>
      </w:r>
      <w:r w:rsidR="004A638A">
        <w:t>T</w:t>
      </w:r>
      <w:r w:rsidR="007406F6">
        <w:t>ale modalità di pagamento deve essere documentata</w:t>
      </w:r>
      <w:r w:rsidR="00D64263">
        <w:t xml:space="preserve"> dalla copia della ricevuta del bollettino</w:t>
      </w:r>
      <w:r w:rsidR="00445E0B">
        <w:t>,</w:t>
      </w:r>
      <w:r w:rsidR="00D64263">
        <w:t xml:space="preserve"> </w:t>
      </w:r>
      <w:r w:rsidR="004A638A">
        <w:t xml:space="preserve">unitamente all’estratto  conto </w:t>
      </w:r>
      <w:r w:rsidR="004C735F">
        <w:t>in originale</w:t>
      </w:r>
      <w:r w:rsidR="004A638A">
        <w:t>.</w:t>
      </w:r>
      <w:r w:rsidR="00D64263">
        <w:t xml:space="preserve"> Nello spazio della causale devono essere riportati i dati identificativi del documento</w:t>
      </w:r>
      <w:r w:rsidR="004A638A">
        <w:t xml:space="preserve"> </w:t>
      </w:r>
      <w:r w:rsidR="00D64263">
        <w:t>di spesa di cui si dimostra il pagamento</w:t>
      </w:r>
      <w:r w:rsidR="00B625CA">
        <w:t>, quali</w:t>
      </w:r>
      <w:r w:rsidR="00D64263">
        <w:t>: nome del destinatario del pagamento, numero e data</w:t>
      </w:r>
      <w:r w:rsidR="004A638A">
        <w:t xml:space="preserve"> </w:t>
      </w:r>
      <w:r w:rsidR="00D64263">
        <w:t>della fattura pagata, tipo di pagamento (acconto o saldo);</w:t>
      </w:r>
    </w:p>
    <w:p w:rsidR="00D64263" w:rsidRDefault="00B625CA" w:rsidP="00BE7ABC">
      <w:pPr>
        <w:numPr>
          <w:ilvl w:val="0"/>
          <w:numId w:val="51"/>
        </w:numPr>
        <w:autoSpaceDE w:val="0"/>
        <w:autoSpaceDN w:val="0"/>
        <w:adjustRightInd w:val="0"/>
        <w:spacing w:before="120"/>
        <w:ind w:left="714" w:right="125" w:hanging="357"/>
        <w:jc w:val="both"/>
      </w:pPr>
      <w:r>
        <w:t>V</w:t>
      </w:r>
      <w:r w:rsidR="00D64263">
        <w:t>aglia postale.</w:t>
      </w:r>
      <w:r w:rsidR="004A638A">
        <w:t xml:space="preserve"> </w:t>
      </w:r>
      <w:r w:rsidR="007406F6">
        <w:t>Tale</w:t>
      </w:r>
      <w:r w:rsidR="004A638A">
        <w:t xml:space="preserve"> forma di pagamento</w:t>
      </w:r>
      <w:r w:rsidR="00D53FD6">
        <w:t xml:space="preserve"> può essere ammessa a condizione che sia </w:t>
      </w:r>
      <w:r w:rsidR="007406F6">
        <w:t>effettuata</w:t>
      </w:r>
      <w:r w:rsidR="004A638A">
        <w:t xml:space="preserve"> tramite conto corrente postale e </w:t>
      </w:r>
      <w:r w:rsidR="00D53FD6">
        <w:t xml:space="preserve">sia </w:t>
      </w:r>
      <w:r w:rsidR="007406F6">
        <w:t>documentata</w:t>
      </w:r>
      <w:r w:rsidR="00D64263">
        <w:t xml:space="preserve"> dalla copia</w:t>
      </w:r>
      <w:r w:rsidR="004A638A">
        <w:t xml:space="preserve"> </w:t>
      </w:r>
      <w:r w:rsidR="00D64263">
        <w:t>della ricevuta del vaglia postale</w:t>
      </w:r>
      <w:r w:rsidR="004A638A">
        <w:t xml:space="preserve"> e dall’estratto del conto corrente</w:t>
      </w:r>
      <w:r w:rsidR="00D53FD6">
        <w:t xml:space="preserve"> </w:t>
      </w:r>
      <w:r w:rsidR="001B66D4">
        <w:t>in originale</w:t>
      </w:r>
      <w:r w:rsidR="007406F6">
        <w:t>.</w:t>
      </w:r>
      <w:r w:rsidR="00D64263">
        <w:t xml:space="preserve"> Nello spazio della causale devono essere riportati i dati</w:t>
      </w:r>
      <w:r w:rsidR="004A638A">
        <w:t xml:space="preserve"> </w:t>
      </w:r>
      <w:r w:rsidR="00D64263">
        <w:t xml:space="preserve">identificativi del documento di spesa di cui si dimostra il </w:t>
      </w:r>
      <w:r w:rsidR="00D64263">
        <w:lastRenderedPageBreak/>
        <w:t>pagamento</w:t>
      </w:r>
      <w:r>
        <w:t>, quali</w:t>
      </w:r>
      <w:r w:rsidR="00D64263">
        <w:t>: nome del destinatario</w:t>
      </w:r>
      <w:r w:rsidR="004A638A">
        <w:t xml:space="preserve"> </w:t>
      </w:r>
      <w:r w:rsidR="00D64263">
        <w:t>del pagamento, numero e data della fattura pagata, tipo di pagamento (acconto o saldo);</w:t>
      </w:r>
    </w:p>
    <w:p w:rsidR="00F31945" w:rsidRDefault="00F31945" w:rsidP="00BE7ABC">
      <w:pPr>
        <w:numPr>
          <w:ilvl w:val="0"/>
          <w:numId w:val="51"/>
        </w:numPr>
        <w:autoSpaceDE w:val="0"/>
        <w:autoSpaceDN w:val="0"/>
        <w:adjustRightInd w:val="0"/>
        <w:spacing w:before="120"/>
        <w:ind w:left="714" w:right="125" w:hanging="357"/>
        <w:jc w:val="both"/>
      </w:pPr>
      <w:r w:rsidRPr="00611533">
        <w:t xml:space="preserve">MAV (bollettino di Pagamento Mediante Avviso). </w:t>
      </w:r>
      <w:r w:rsidR="00CC557F" w:rsidRPr="00611533">
        <w:t xml:space="preserve">Tale forma </w:t>
      </w:r>
      <w:r w:rsidRPr="00611533">
        <w:t>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 esattrice).</w:t>
      </w:r>
    </w:p>
    <w:p w:rsidR="00F35244" w:rsidRDefault="00F35244" w:rsidP="00BE7ABC">
      <w:pPr>
        <w:numPr>
          <w:ilvl w:val="0"/>
          <w:numId w:val="51"/>
        </w:numPr>
        <w:spacing w:before="120"/>
        <w:ind w:right="126"/>
        <w:jc w:val="both"/>
      </w:pPr>
      <w:r>
        <w:t>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 Poste).</w:t>
      </w:r>
    </w:p>
    <w:p w:rsidR="00E476CB" w:rsidRPr="00E476CB" w:rsidRDefault="00E476CB" w:rsidP="00273BE4">
      <w:pPr>
        <w:spacing w:before="120"/>
        <w:ind w:right="126"/>
        <w:jc w:val="both"/>
      </w:pPr>
      <w:r w:rsidRPr="00E476CB">
        <w:t>Nel caso di pagamenti</w:t>
      </w:r>
      <w:r>
        <w:t xml:space="preserve"> effettuati da enti pubblici, il momento del pagamento è identificato dalla data di esecuzione del mandato da parte della tesoreria.</w:t>
      </w:r>
    </w:p>
    <w:p w:rsidR="00506B3C" w:rsidRPr="00A91601" w:rsidRDefault="005C762E" w:rsidP="00273BE4">
      <w:pPr>
        <w:spacing w:before="120"/>
        <w:ind w:right="126"/>
        <w:jc w:val="both"/>
      </w:pPr>
      <w:r w:rsidRPr="00A91601">
        <w:t>L</w:t>
      </w:r>
      <w:r w:rsidR="0073776E" w:rsidRPr="00A91601">
        <w:t>e Amministrazioni responsabili della gestione e del controllo del Programma</w:t>
      </w:r>
      <w:r w:rsidR="000832CE">
        <w:t xml:space="preserve"> dov</w:t>
      </w:r>
      <w:r w:rsidRPr="00A91601">
        <w:t>ranno istituire</w:t>
      </w:r>
      <w:r w:rsidR="0073776E" w:rsidRPr="00A91601">
        <w:t xml:space="preserve"> un adeguato sistema </w:t>
      </w:r>
      <w:r w:rsidR="003C0D14">
        <w:t>(es.</w:t>
      </w:r>
      <w:r w:rsidR="00C709E9">
        <w:t xml:space="preserve"> annullamento della fattura tramite timbratura, riconciliazione della fattura tramite attribuzione CUP</w:t>
      </w:r>
      <w:r w:rsidR="003C7A7A">
        <w:t xml:space="preserve"> o scritture equipollenti</w:t>
      </w:r>
      <w:r w:rsidR="00C709E9">
        <w:t>, tracciatura della fattura, ecc</w:t>
      </w:r>
      <w:r w:rsidR="000832CE">
        <w:t>.</w:t>
      </w:r>
      <w:r w:rsidR="00C709E9">
        <w:t xml:space="preserve">) </w:t>
      </w:r>
      <w:r w:rsidR="0073776E" w:rsidRPr="00A91601">
        <w:t>atto a prevenire che le fatture e/o documenti contabili equivalenti possano, per errore o per dolo, essere presentate a rendicontazione sul medesimo o su altri Programmi, cofinanziati dall’Ue o</w:t>
      </w:r>
      <w:r w:rsidRPr="00A91601">
        <w:t xml:space="preserve"> da altri strumenti finanziari</w:t>
      </w:r>
      <w:r w:rsidR="0073776E" w:rsidRPr="00A91601">
        <w:t>.</w:t>
      </w:r>
    </w:p>
    <w:p w:rsidR="005A1CA9" w:rsidRPr="005F438E" w:rsidRDefault="007A7A42" w:rsidP="00273BE4">
      <w:pPr>
        <w:spacing w:before="120"/>
        <w:ind w:right="126"/>
        <w:jc w:val="both"/>
        <w:rPr>
          <w:strike/>
        </w:rPr>
      </w:pPr>
      <w:r w:rsidRPr="003C7A7A">
        <w:t xml:space="preserve">Il pagamento in contanti </w:t>
      </w:r>
      <w:r w:rsidR="003C7A7A" w:rsidRPr="003C7A7A">
        <w:t>non è consentito</w:t>
      </w:r>
      <w:r w:rsidR="000C6DF0">
        <w:t xml:space="preserve">, ad eccezione dei pagamenti effettuati dai beneficiari della sottomisura 17.1 (premio assicurativo per il raccolto, gli animali e le piante), nel rispetto della normativa vigente e fermo restando il divieto di artificioso frazionamento. </w:t>
      </w:r>
    </w:p>
    <w:p w:rsidR="00826ACF" w:rsidRDefault="00826ACF" w:rsidP="00826ACF">
      <w:pPr>
        <w:pStyle w:val="Titolo2"/>
        <w:spacing w:before="120" w:after="0"/>
        <w:ind w:left="720" w:right="125" w:hanging="720"/>
        <w:rPr>
          <w:snapToGrid w:val="0"/>
        </w:rPr>
      </w:pPr>
    </w:p>
    <w:p w:rsidR="00417386" w:rsidRDefault="00746DDE" w:rsidP="00273BE4">
      <w:pPr>
        <w:pStyle w:val="Titolo2"/>
        <w:tabs>
          <w:tab w:val="left" w:pos="720"/>
        </w:tabs>
        <w:ind w:left="720" w:right="126" w:hanging="720"/>
        <w:rPr>
          <w:snapToGrid w:val="0"/>
        </w:rPr>
      </w:pPr>
      <w:bookmarkStart w:id="36" w:name="_Toc432090724"/>
      <w:r>
        <w:rPr>
          <w:snapToGrid w:val="0"/>
        </w:rPr>
        <w:t>3</w:t>
      </w:r>
      <w:r w:rsidR="00BC77F2" w:rsidRPr="00BC77F2">
        <w:rPr>
          <w:snapToGrid w:val="0"/>
        </w:rPr>
        <w:t>.</w:t>
      </w:r>
      <w:r w:rsidR="000E3CD6">
        <w:rPr>
          <w:snapToGrid w:val="0"/>
        </w:rPr>
        <w:t>1</w:t>
      </w:r>
      <w:r w:rsidR="00767656">
        <w:rPr>
          <w:snapToGrid w:val="0"/>
        </w:rPr>
        <w:t>7</w:t>
      </w:r>
      <w:r w:rsidR="001B173F">
        <w:rPr>
          <w:snapToGrid w:val="0"/>
        </w:rPr>
        <w:tab/>
      </w:r>
      <w:r w:rsidR="00417386" w:rsidRPr="00D95DD9">
        <w:rPr>
          <w:snapToGrid w:val="0"/>
        </w:rPr>
        <w:t>Disposizioni in materia di informazione e pubblicità</w:t>
      </w:r>
      <w:bookmarkEnd w:id="36"/>
    </w:p>
    <w:p w:rsidR="00284557" w:rsidRPr="00E93489" w:rsidRDefault="00417386" w:rsidP="00273BE4">
      <w:pPr>
        <w:spacing w:before="120"/>
        <w:ind w:right="126"/>
        <w:jc w:val="both"/>
      </w:pPr>
      <w:r w:rsidRPr="00E93489">
        <w:t xml:space="preserve">L’art. </w:t>
      </w:r>
      <w:r w:rsidR="00AB0D41">
        <w:t>13</w:t>
      </w:r>
      <w:r w:rsidR="00AB0D41" w:rsidRPr="00E93489">
        <w:t xml:space="preserve"> </w:t>
      </w:r>
      <w:r w:rsidRPr="00E93489">
        <w:t xml:space="preserve">del Reg. </w:t>
      </w:r>
      <w:r w:rsidR="00B027EC">
        <w:t xml:space="preserve">di esecuzione </w:t>
      </w:r>
      <w:r w:rsidR="00FD2CED">
        <w:t>(</w:t>
      </w:r>
      <w:r w:rsidR="00AB0D41">
        <w:t>U</w:t>
      </w:r>
      <w:r w:rsidR="00AB0D41" w:rsidRPr="00E93489">
        <w:t>E</w:t>
      </w:r>
      <w:r w:rsidR="00FD2CED">
        <w:t>)</w:t>
      </w:r>
      <w:r w:rsidRPr="00E93489">
        <w:t xml:space="preserve"> n. </w:t>
      </w:r>
      <w:r w:rsidR="00AB0D41">
        <w:t>808/2014</w:t>
      </w:r>
      <w:r w:rsidRPr="00E93489">
        <w:t xml:space="preserve"> dispone che gli Stati Membri provvedano all</w:t>
      </w:r>
      <w:r w:rsidR="00284557" w:rsidRPr="00E93489">
        <w:t>’informazione e alla pubblicità</w:t>
      </w:r>
      <w:r w:rsidRPr="00E93489">
        <w:t xml:space="preserve">, evidenziando in particolare il contributo </w:t>
      </w:r>
      <w:r w:rsidR="001B173F" w:rsidRPr="00E93489">
        <w:t>concesso dalla</w:t>
      </w:r>
      <w:r w:rsidRPr="00E93489">
        <w:t xml:space="preserve"> </w:t>
      </w:r>
      <w:r w:rsidR="001B173F" w:rsidRPr="00E93489">
        <w:t>C</w:t>
      </w:r>
      <w:r w:rsidRPr="00E93489">
        <w:t xml:space="preserve">omunità </w:t>
      </w:r>
      <w:r w:rsidR="001B173F" w:rsidRPr="00E93489">
        <w:t xml:space="preserve">europea </w:t>
      </w:r>
      <w:r w:rsidRPr="00E93489">
        <w:t>e garantendo la trasparenza del sostegno del F</w:t>
      </w:r>
      <w:r w:rsidR="00D34CC8">
        <w:t>EASR</w:t>
      </w:r>
      <w:r w:rsidR="006E6E1F">
        <w:t>.</w:t>
      </w:r>
    </w:p>
    <w:p w:rsidR="005E1A3C" w:rsidRDefault="00417386" w:rsidP="00273BE4">
      <w:pPr>
        <w:spacing w:before="120"/>
        <w:ind w:right="126"/>
        <w:jc w:val="both"/>
      </w:pPr>
      <w:r w:rsidRPr="00E93489">
        <w:t xml:space="preserve">In base all’art. </w:t>
      </w:r>
      <w:r w:rsidR="00AB0D41">
        <w:t>13</w:t>
      </w:r>
      <w:r w:rsidR="00AB0D41" w:rsidRPr="00E93489">
        <w:t xml:space="preserve"> </w:t>
      </w:r>
      <w:r w:rsidRPr="00E93489">
        <w:t xml:space="preserve">del Reg. </w:t>
      </w:r>
      <w:r w:rsidR="00B027EC">
        <w:t xml:space="preserve">di esecuzione </w:t>
      </w:r>
      <w:r w:rsidR="00FD2CED">
        <w:t>(</w:t>
      </w:r>
      <w:r w:rsidR="00AB0D41">
        <w:t>U</w:t>
      </w:r>
      <w:r w:rsidR="00AB0D41" w:rsidRPr="00E93489">
        <w:t>E</w:t>
      </w:r>
      <w:r w:rsidR="00FD2CED">
        <w:t>)</w:t>
      </w:r>
      <w:r w:rsidRPr="00E93489">
        <w:t xml:space="preserve"> n. </w:t>
      </w:r>
      <w:r w:rsidR="00AB0D41">
        <w:t>808/2014</w:t>
      </w:r>
      <w:r w:rsidRPr="00E93489">
        <w:t xml:space="preserve"> e in particolare all’allegato </w:t>
      </w:r>
      <w:r w:rsidR="00AB0D41">
        <w:t>II</w:t>
      </w:r>
      <w:r w:rsidRPr="00E93489">
        <w:t>,  al fine di garantire la visibilità delle realizzazioni cofinanziate dall</w:t>
      </w:r>
      <w:r w:rsidR="00B54D7D">
        <w:t>’Unione europea</w:t>
      </w:r>
      <w:r w:rsidRPr="00E93489">
        <w:t>, l’</w:t>
      </w:r>
      <w:r w:rsidR="001B173F" w:rsidRPr="00E93489">
        <w:t>A</w:t>
      </w:r>
      <w:r w:rsidRPr="00E93489">
        <w:t xml:space="preserve">utorità di gestione ha l’obbligo di </w:t>
      </w:r>
      <w:r w:rsidR="00B625CA">
        <w:t>realizzare attività</w:t>
      </w:r>
      <w:r w:rsidR="00883E2D">
        <w:t xml:space="preserve"> </w:t>
      </w:r>
      <w:r w:rsidRPr="00E93489">
        <w:t xml:space="preserve">informative e pubblicitarie rivolte ai potenziali beneficiari </w:t>
      </w:r>
      <w:r w:rsidR="005E1A3C">
        <w:t>delle azioni cofinanziate.</w:t>
      </w:r>
    </w:p>
    <w:p w:rsidR="009D3DDB" w:rsidRDefault="009D3DDB" w:rsidP="009D3DDB">
      <w:pPr>
        <w:spacing w:before="120"/>
        <w:ind w:right="126"/>
        <w:jc w:val="both"/>
      </w:pPr>
      <w:r>
        <w:t>D’altro canto, tutte le azioni di informazione e di comunicazione a cura del beneficiario devono fare riferimento al sostegno del FEASR all’operazione riportando:</w:t>
      </w:r>
    </w:p>
    <w:p w:rsidR="009D3DDB" w:rsidRDefault="009D3DDB" w:rsidP="009D3DDB">
      <w:pPr>
        <w:spacing w:before="120"/>
        <w:ind w:right="126"/>
        <w:jc w:val="both"/>
      </w:pPr>
      <w:r>
        <w:t>a) l’emblema dell’Unione;</w:t>
      </w:r>
    </w:p>
    <w:p w:rsidR="009D3DDB" w:rsidRDefault="009D3DDB" w:rsidP="009D3DDB">
      <w:pPr>
        <w:spacing w:before="120"/>
        <w:ind w:right="126"/>
        <w:jc w:val="both"/>
      </w:pPr>
      <w:r>
        <w:t>b) un riferimento al sostegno da parte del FEASR.</w:t>
      </w:r>
      <w:r w:rsidR="005E1A3C">
        <w:t xml:space="preserve">, </w:t>
      </w:r>
    </w:p>
    <w:p w:rsidR="009D3DDB" w:rsidRDefault="009D3DDB" w:rsidP="009D3DDB">
      <w:pPr>
        <w:spacing w:before="120"/>
        <w:ind w:right="126"/>
        <w:jc w:val="both"/>
      </w:pPr>
      <w:r>
        <w:t>Durante l’attuazione di un’operazione, il beneficiario informa il pubblico sul sostegno ottenuto dal FEASR:</w:t>
      </w:r>
    </w:p>
    <w:p w:rsidR="009D3DDB" w:rsidRDefault="009D3DDB" w:rsidP="009D3DDB">
      <w:pPr>
        <w:spacing w:before="120"/>
        <w:ind w:right="126"/>
        <w:jc w:val="both"/>
      </w:pPr>
      <w:r>
        <w:t>a) fornendo, sul sito web per uso professionale del beneficiario, ove questo esista, una breve descrizione dell’operazione che consenta di evidenziare il nesso tra l’obiettivo del sito web e il sostegno di cui beneficia l’operazione, in proporzione al livello del sostegno, compresi finalità e risultati, ed evidenziando il sostegno finanziario ricevuto dall’Unione;</w:t>
      </w:r>
    </w:p>
    <w:p w:rsidR="009D3DDB" w:rsidRDefault="009D3DDB" w:rsidP="009D3DDB">
      <w:pPr>
        <w:spacing w:before="120"/>
        <w:ind w:right="126"/>
        <w:jc w:val="both"/>
      </w:pPr>
      <w:r>
        <w:t xml:space="preserve">b) collocando, per le operazioni che non rientrano nell’ambito della lettera c) che beneficiano di un sostegno pubblico totale superiore a 10 000 EUR, e in funzione dell’operazione sovvenzionata (ad esempio per le operazioni di cui all’articolo 20 sul rinnovamento dei villaggi o per i progetti </w:t>
      </w:r>
      <w:r>
        <w:lastRenderedPageBreak/>
        <w:t>Leader), almeno un poster con informazioni sull’operazione (formato minimo A3), che evidenzi il sostegno finanziario dell’Unione, in un luogo facilmente visibile al pubblico, come l’area d’ingresso di un edificio. Se un’operazione nell’ambito di un PSR comporta un investimento (ad esempio, in un’azienda agricola o alimentare) il cui sostegno pubblico totale supera 50 000 EUR, il beneficiario espone una targa informativa contenente indicazioni sul progetto, che metta in evidenza il sostegno finanziario ricevuto dall’Unione. Una targa informativa deve essere affissa anche presso le sedi dei gruppi di azione locale finanziati da Leader;</w:t>
      </w:r>
    </w:p>
    <w:p w:rsidR="009D3DDB" w:rsidRDefault="009D3DDB" w:rsidP="009D3DDB">
      <w:pPr>
        <w:spacing w:before="120"/>
        <w:ind w:right="126"/>
        <w:jc w:val="both"/>
      </w:pPr>
      <w:r>
        <w:t>c) esponendo, in un luogo facilmente visibile al pubblico, un cartellone temporaneo di dimensioni rilevanti per ogni operazione che consista nel finanziamento di infrastrutture o di operazioni di costruzione per le quali il sostegno pubblico complessivo supera 500 000 EUR.</w:t>
      </w:r>
    </w:p>
    <w:p w:rsidR="009D3DDB" w:rsidRDefault="009D3DDB" w:rsidP="009D3DDB">
      <w:pPr>
        <w:spacing w:before="120"/>
        <w:ind w:right="126"/>
        <w:jc w:val="both"/>
      </w:pPr>
      <w:r>
        <w:t>Entro tre mesi dal completamento di un’operazione, il beneficiario espone una targa permanente o un cartellone pubblicitario di notevoli dimensioni in un luogo facilmente visibile al pubblico per ogni operazione che soddisfi i seguenti criteri:</w:t>
      </w:r>
    </w:p>
    <w:p w:rsidR="009D3DDB" w:rsidRDefault="009D3DDB" w:rsidP="00BE7ABC">
      <w:pPr>
        <w:numPr>
          <w:ilvl w:val="0"/>
          <w:numId w:val="31"/>
        </w:numPr>
        <w:spacing w:before="120"/>
        <w:ind w:right="126"/>
        <w:jc w:val="both"/>
      </w:pPr>
      <w:r>
        <w:t>il sostegno pubblico complessivo per l’intervento supera 500 000 EUR;</w:t>
      </w:r>
    </w:p>
    <w:p w:rsidR="009D3DDB" w:rsidRDefault="009D3DDB" w:rsidP="00BE7ABC">
      <w:pPr>
        <w:numPr>
          <w:ilvl w:val="0"/>
          <w:numId w:val="31"/>
        </w:numPr>
        <w:spacing w:before="120"/>
        <w:ind w:right="126"/>
        <w:jc w:val="both"/>
      </w:pPr>
      <w:r>
        <w:t>l’operazione consiste nell’acquisto di un oggetto fisico o nel finanziamento di un’infrastruttura o di operazioni di costruzione.</w:t>
      </w:r>
    </w:p>
    <w:p w:rsidR="009D3DDB" w:rsidRDefault="009D3DDB" w:rsidP="00BE7ABC">
      <w:pPr>
        <w:numPr>
          <w:ilvl w:val="0"/>
          <w:numId w:val="31"/>
        </w:numPr>
        <w:spacing w:before="120"/>
        <w:ind w:right="126"/>
        <w:jc w:val="both"/>
      </w:pPr>
      <w:r>
        <w:t>Il cartellone indica il nome e il principale obiettivo dell’operazione e mette in evidenza il sostegno finanziario dell’Unione.</w:t>
      </w:r>
    </w:p>
    <w:p w:rsidR="009D3DDB" w:rsidRDefault="009D3DDB" w:rsidP="009D3DDB">
      <w:pPr>
        <w:spacing w:before="120"/>
        <w:ind w:right="126"/>
        <w:jc w:val="both"/>
      </w:pPr>
      <w:r>
        <w:t>I cartelloni, i poster, le targhe e i siti web recano una descrizione del progetto/dell’intervento e gli elementi di cui alla parte 2, punto 1. Queste informazioni occupano almeno il 25 % dello spazio del cartellone, della targa o della pagina web.</w:t>
      </w:r>
      <w:r w:rsidR="00D34CC8">
        <w:t xml:space="preserve"> </w:t>
      </w:r>
      <w:r>
        <w:t>Caratteristiche tecniche delle azioni informative e pubblicitarie</w:t>
      </w:r>
    </w:p>
    <w:p w:rsidR="009D3DDB" w:rsidRDefault="009D3DDB" w:rsidP="009D3DDB">
      <w:pPr>
        <w:spacing w:before="120"/>
        <w:ind w:right="126"/>
        <w:jc w:val="both"/>
      </w:pPr>
      <w:r>
        <w:t>1. Logo e slogan</w:t>
      </w:r>
    </w:p>
    <w:p w:rsidR="009D3DDB" w:rsidRDefault="009D3DDB" w:rsidP="009D3DDB">
      <w:pPr>
        <w:spacing w:before="120"/>
        <w:ind w:right="126"/>
        <w:jc w:val="both"/>
      </w:pPr>
      <w:r>
        <w:t>Ogni azione informativa e pubblicitaria presenta i seguenti elementi:</w:t>
      </w:r>
    </w:p>
    <w:p w:rsidR="009D3DDB" w:rsidRDefault="009D3DDB" w:rsidP="009D3DDB">
      <w:pPr>
        <w:spacing w:before="120"/>
        <w:ind w:right="126"/>
        <w:jc w:val="both"/>
      </w:pPr>
      <w:r>
        <w:t>a) l’emblema dell’Unione conforme agli standard grafici quali presentati sul sito http://europa.eu/abc/symbols/ emblem/download_en.htm, unitamente alla seguente indicazione del ruolo dell’Unione:</w:t>
      </w:r>
    </w:p>
    <w:p w:rsidR="009D3DDB" w:rsidRDefault="009D3DDB" w:rsidP="009D3DDB">
      <w:pPr>
        <w:spacing w:before="120"/>
        <w:ind w:right="126"/>
        <w:jc w:val="both"/>
      </w:pPr>
      <w:r>
        <w:t>«Fondo europeo agricolo per lo sviluppo rurale: l’Europa investe nelle zone rurali»;</w:t>
      </w:r>
    </w:p>
    <w:p w:rsidR="009D3DDB" w:rsidRDefault="009D3DDB" w:rsidP="009D3DDB">
      <w:pPr>
        <w:spacing w:before="120"/>
        <w:ind w:right="126"/>
        <w:jc w:val="both"/>
      </w:pPr>
      <w:r>
        <w:t>b) per le misure e gli interventi finanziati da Leader, il logo di Leader:</w:t>
      </w:r>
    </w:p>
    <w:p w:rsidR="00417386" w:rsidRDefault="009D3DDB" w:rsidP="00273BE4">
      <w:pPr>
        <w:spacing w:before="120"/>
        <w:ind w:right="126"/>
        <w:jc w:val="both"/>
      </w:pPr>
      <w:r>
        <w:t>++ Logo di Leader ++</w:t>
      </w:r>
      <w:r w:rsidR="00D34CC8">
        <w:t xml:space="preserve"> </w:t>
      </w:r>
      <w:r w:rsidR="00E8752B">
        <w:t xml:space="preserve">Le </w:t>
      </w:r>
      <w:r w:rsidR="00E8752B" w:rsidRPr="00E93489">
        <w:t xml:space="preserve">azioni informative e pubblicitarie </w:t>
      </w:r>
      <w:r w:rsidR="00E8752B">
        <w:t xml:space="preserve">devono essere realizzate </w:t>
      </w:r>
      <w:r w:rsidR="007F2FD9">
        <w:t xml:space="preserve">in conformità a quanto </w:t>
      </w:r>
      <w:r w:rsidR="004D6FDE">
        <w:t xml:space="preserve">riportato nell’allegato </w:t>
      </w:r>
      <w:r>
        <w:t>III</w:t>
      </w:r>
      <w:r w:rsidR="004D6FDE">
        <w:t xml:space="preserve">,  </w:t>
      </w:r>
      <w:r>
        <w:t>parte 1 e 2</w:t>
      </w:r>
      <w:r w:rsidR="004D6FDE">
        <w:t xml:space="preserve"> del Reg. </w:t>
      </w:r>
      <w:r w:rsidR="00D34CC8">
        <w:t xml:space="preserve">di esecuzione </w:t>
      </w:r>
      <w:r w:rsidR="004D6FDE">
        <w:t>(</w:t>
      </w:r>
      <w:r>
        <w:t>U</w:t>
      </w:r>
      <w:r w:rsidR="004D6FDE">
        <w:t xml:space="preserve">E) n. </w:t>
      </w:r>
      <w:r>
        <w:t>808</w:t>
      </w:r>
      <w:r w:rsidR="004D6FDE">
        <w:t>/</w:t>
      </w:r>
      <w:r>
        <w:t>14</w:t>
      </w:r>
      <w:r w:rsidR="005E1A3C">
        <w:t>.</w:t>
      </w:r>
    </w:p>
    <w:p w:rsidR="00ED3576" w:rsidRDefault="006E6E1F" w:rsidP="00273BE4">
      <w:pPr>
        <w:spacing w:before="120"/>
        <w:ind w:right="126"/>
        <w:jc w:val="both"/>
      </w:pPr>
      <w:r w:rsidRPr="006E6E1F">
        <w:t>Le spese relative alle suddette azioni informative e pubblicitarie costituiscono parte integrante dell’operazione e sono pertanto eleggibili a cofinanziamento nella misura stabilita per l’operazione considerata</w:t>
      </w:r>
      <w:r>
        <w:t>.</w:t>
      </w:r>
    </w:p>
    <w:p w:rsidR="00285323" w:rsidRDefault="00746DDE" w:rsidP="00273BE4">
      <w:pPr>
        <w:pStyle w:val="Titolo2"/>
        <w:tabs>
          <w:tab w:val="left" w:pos="720"/>
        </w:tabs>
        <w:ind w:left="720" w:right="126" w:hanging="720"/>
        <w:rPr>
          <w:snapToGrid w:val="0"/>
        </w:rPr>
      </w:pPr>
      <w:bookmarkStart w:id="37" w:name="_Toc432090725"/>
      <w:r>
        <w:rPr>
          <w:snapToGrid w:val="0"/>
        </w:rPr>
        <w:t>3</w:t>
      </w:r>
      <w:r w:rsidR="00285323" w:rsidRPr="00E93489">
        <w:rPr>
          <w:snapToGrid w:val="0"/>
        </w:rPr>
        <w:t>.</w:t>
      </w:r>
      <w:r w:rsidR="000E3CD6">
        <w:rPr>
          <w:snapToGrid w:val="0"/>
        </w:rPr>
        <w:t>1</w:t>
      </w:r>
      <w:r w:rsidR="00767656">
        <w:rPr>
          <w:snapToGrid w:val="0"/>
        </w:rPr>
        <w:t>8</w:t>
      </w:r>
      <w:r w:rsidR="00A91601">
        <w:rPr>
          <w:snapToGrid w:val="0"/>
        </w:rPr>
        <w:t xml:space="preserve"> </w:t>
      </w:r>
      <w:r w:rsidR="00A91601">
        <w:rPr>
          <w:snapToGrid w:val="0"/>
        </w:rPr>
        <w:tab/>
      </w:r>
      <w:r w:rsidR="00285323" w:rsidRPr="00E93489">
        <w:rPr>
          <w:snapToGrid w:val="0"/>
        </w:rPr>
        <w:t xml:space="preserve">Periodo di non alienabilità </w:t>
      </w:r>
      <w:r w:rsidR="00285323" w:rsidRPr="000C1009">
        <w:rPr>
          <w:snapToGrid w:val="0"/>
        </w:rPr>
        <w:t>e</w:t>
      </w:r>
      <w:r w:rsidR="000C1009">
        <w:rPr>
          <w:snapToGrid w:val="0"/>
        </w:rPr>
        <w:t xml:space="preserve"> vincoli </w:t>
      </w:r>
      <w:r w:rsidR="00285323" w:rsidRPr="00E93489">
        <w:rPr>
          <w:snapToGrid w:val="0"/>
        </w:rPr>
        <w:t>di destinazione</w:t>
      </w:r>
      <w:bookmarkEnd w:id="37"/>
    </w:p>
    <w:p w:rsidR="009D3DDB" w:rsidRPr="00A8483C" w:rsidRDefault="009D3DDB" w:rsidP="009D3DDB">
      <w:pPr>
        <w:pStyle w:val="Corpotesto1"/>
        <w:spacing w:before="120"/>
        <w:ind w:right="126"/>
        <w:jc w:val="both"/>
        <w:rPr>
          <w:i/>
        </w:rPr>
      </w:pPr>
      <w:r>
        <w:t>L’</w:t>
      </w:r>
      <w:r w:rsidR="00B027EC">
        <w:t>a</w:t>
      </w:r>
      <w:r>
        <w:t>rt</w:t>
      </w:r>
      <w:r w:rsidR="00B027EC">
        <w:t>.</w:t>
      </w:r>
      <w:r>
        <w:t xml:space="preserve"> 71 del Reg. (UE) n. 1303/2013 “Stabilità delle operazioni” dispone che   “ 1. </w:t>
      </w:r>
      <w:r w:rsidRPr="00A8483C">
        <w:rPr>
          <w:i/>
        </w:rPr>
        <w:t>Nel caso di un'operazione che comporta investimenti in infrastrutture o investimenti produttivi, il contributo fornito dai fondi SIE è rimborsato laddove, entro cinque anni dal pagamento finale al beneficiario o entro il termine stabilito nella normativa sugli aiuti di Stato, ove applicabile, si verifichi quanto segue:</w:t>
      </w:r>
    </w:p>
    <w:p w:rsidR="009D3DDB" w:rsidRPr="00A8483C" w:rsidRDefault="009D3DDB" w:rsidP="009D3DDB">
      <w:pPr>
        <w:pStyle w:val="Corpotesto1"/>
        <w:spacing w:before="120"/>
        <w:ind w:right="126"/>
        <w:jc w:val="both"/>
        <w:rPr>
          <w:i/>
        </w:rPr>
      </w:pPr>
      <w:r w:rsidRPr="00A8483C">
        <w:rPr>
          <w:i/>
        </w:rPr>
        <w:t>a) cessazione o rilocalizzazione di un'attività produttiva al di fuori dell'area del programma;</w:t>
      </w:r>
    </w:p>
    <w:p w:rsidR="009D3DDB" w:rsidRPr="00A8483C" w:rsidRDefault="009D3DDB" w:rsidP="009D3DDB">
      <w:pPr>
        <w:pStyle w:val="Corpotesto1"/>
        <w:spacing w:before="120"/>
        <w:ind w:right="126"/>
        <w:jc w:val="both"/>
        <w:rPr>
          <w:i/>
        </w:rPr>
      </w:pPr>
      <w:r w:rsidRPr="00A8483C">
        <w:rPr>
          <w:i/>
        </w:rPr>
        <w:t>b) cambio di proprietà di un'infrastruttura che procuri un vantaggio indebito a un'impresa o a un ente pubblico;</w:t>
      </w:r>
    </w:p>
    <w:p w:rsidR="009D3DDB" w:rsidRPr="00A8483C" w:rsidRDefault="009D3DDB" w:rsidP="009D3DDB">
      <w:pPr>
        <w:pStyle w:val="Corpotesto1"/>
        <w:spacing w:before="120"/>
        <w:ind w:right="126"/>
        <w:jc w:val="both"/>
        <w:rPr>
          <w:i/>
        </w:rPr>
      </w:pPr>
      <w:r w:rsidRPr="00A8483C">
        <w:rPr>
          <w:i/>
        </w:rPr>
        <w:lastRenderedPageBreak/>
        <w:t>c) una modifica sostanziale che alteri la natura, gli obiettivi o le condizioni di attuazione dell'operazione, con il risultato di comprometterne gli obiettivi originari.</w:t>
      </w:r>
    </w:p>
    <w:p w:rsidR="009D3DDB" w:rsidRPr="00A8483C" w:rsidRDefault="009D3DDB" w:rsidP="009D3DDB">
      <w:pPr>
        <w:pStyle w:val="Corpotesto1"/>
        <w:spacing w:before="120"/>
        <w:ind w:right="126"/>
        <w:jc w:val="both"/>
        <w:rPr>
          <w:i/>
        </w:rPr>
      </w:pPr>
      <w:r w:rsidRPr="00A8483C">
        <w:rPr>
          <w:i/>
        </w:rPr>
        <w:t>Gli importi indebitamente versati in relazione all'operazione sono recuperati dallo Stato membro in proporzione al periodo per il quale i requisiti non sono stati soddisfatti.</w:t>
      </w:r>
    </w:p>
    <w:p w:rsidR="00602EBA" w:rsidRPr="00B74C16" w:rsidRDefault="009D3DDB" w:rsidP="00290F31">
      <w:pPr>
        <w:pStyle w:val="Corpotesto1"/>
        <w:spacing w:before="120"/>
        <w:ind w:right="126"/>
        <w:jc w:val="both"/>
        <w:rPr>
          <w:i/>
        </w:rPr>
      </w:pPr>
      <w:r w:rsidRPr="007330CB">
        <w:rPr>
          <w:i/>
        </w:rPr>
        <w:t>Gli Stati membri possono ridurre il limite temporale definito al primo comma a tre anni, nei casi relativi al mantenimento degli investimenti o dei posti di lavoro creati dalle PMI.</w:t>
      </w:r>
      <w:r w:rsidR="00714E35">
        <w:rPr>
          <w:i/>
        </w:rPr>
        <w:t xml:space="preserve"> </w:t>
      </w:r>
    </w:p>
    <w:p w:rsidR="00057FCE" w:rsidRDefault="00285323" w:rsidP="00273BE4">
      <w:pPr>
        <w:autoSpaceDE w:val="0"/>
        <w:autoSpaceDN w:val="0"/>
        <w:adjustRightInd w:val="0"/>
        <w:ind w:right="126"/>
        <w:jc w:val="both"/>
        <w:rPr>
          <w:rFonts w:ascii="AdvTTd832f767" w:hAnsi="AdvTTd832f767" w:cs="AdvTTd832f767"/>
          <w:sz w:val="20"/>
          <w:szCs w:val="20"/>
        </w:rPr>
      </w:pPr>
      <w:r w:rsidRPr="00E93489">
        <w:t xml:space="preserve">Per periodo di non alienabilità e di divieto di cambio di destinazione di un bene o porzione di bene, si intende il periodo di tempo nell’ambito del quale il beneficiario </w:t>
      </w:r>
      <w:r w:rsidR="008B30F4" w:rsidRPr="00E93489">
        <w:t>non può cedere a terzi né distogliere dall’uso indicato nella domanda approvata il bene/servizio realizzato grazie al contributo pubblico ricevuto.</w:t>
      </w:r>
    </w:p>
    <w:p w:rsidR="00EA43F3" w:rsidRPr="00E93489" w:rsidRDefault="005A689E" w:rsidP="00273BE4">
      <w:pPr>
        <w:spacing w:before="120"/>
        <w:ind w:right="126"/>
        <w:jc w:val="both"/>
      </w:pPr>
      <w:r>
        <w:t>Come disposto dal citato art</w:t>
      </w:r>
      <w:r w:rsidR="00D34CC8">
        <w:t>.</w:t>
      </w:r>
      <w:r>
        <w:t xml:space="preserve"> </w:t>
      </w:r>
      <w:r w:rsidR="00E645EC">
        <w:t>71</w:t>
      </w:r>
      <w:r>
        <w:t>, il periodo di non alienabilità ed il vincolo di destinazione dev</w:t>
      </w:r>
      <w:r w:rsidR="0044179D">
        <w:t>ono</w:t>
      </w:r>
      <w:r>
        <w:t xml:space="preserve"> essere pari ad almeno </w:t>
      </w:r>
      <w:r w:rsidR="00B625CA">
        <w:t>cinque</w:t>
      </w:r>
      <w:r>
        <w:t xml:space="preserve"> anni</w:t>
      </w:r>
      <w:r w:rsidR="0070119E">
        <w:t xml:space="preserve"> </w:t>
      </w:r>
      <w:r w:rsidR="0070119E" w:rsidRPr="0070119E">
        <w:t xml:space="preserve">successivi </w:t>
      </w:r>
      <w:r w:rsidR="006E6E1F">
        <w:t>fin</w:t>
      </w:r>
      <w:r w:rsidR="000832CE">
        <w:t>anziamento dal pagamento finale</w:t>
      </w:r>
      <w:r>
        <w:t xml:space="preserve">. </w:t>
      </w:r>
      <w:r w:rsidR="00AE175E">
        <w:t>Tuttavia</w:t>
      </w:r>
      <w:r>
        <w:t>,</w:t>
      </w:r>
      <w:r w:rsidR="00AE175E">
        <w:t xml:space="preserve"> l</w:t>
      </w:r>
      <w:r>
        <w:t>’</w:t>
      </w:r>
      <w:r w:rsidR="00B74C16">
        <w:t>A</w:t>
      </w:r>
      <w:r w:rsidR="0076642F">
        <w:t xml:space="preserve">utorità di gestione </w:t>
      </w:r>
      <w:r w:rsidR="00AE175E">
        <w:t>p</w:t>
      </w:r>
      <w:r>
        <w:t>uò</w:t>
      </w:r>
      <w:r w:rsidR="00AE175E">
        <w:t xml:space="preserve"> stabilire criteri più restrittivi </w:t>
      </w:r>
      <w:r w:rsidR="000F0F06">
        <w:t xml:space="preserve">sul periodo di non alienabilità </w:t>
      </w:r>
      <w:r w:rsidR="00AE175E">
        <w:t>e</w:t>
      </w:r>
      <w:r w:rsidR="000F0F06">
        <w:t>d inoltre</w:t>
      </w:r>
      <w:r w:rsidR="00AE175E">
        <w:t xml:space="preserve"> </w:t>
      </w:r>
      <w:r w:rsidR="00506B3C">
        <w:t>disciplina</w:t>
      </w:r>
      <w:r w:rsidR="00AE175E">
        <w:t>re</w:t>
      </w:r>
      <w:r w:rsidR="00506B3C">
        <w:t xml:space="preserve"> </w:t>
      </w:r>
      <w:r w:rsidR="0076642F">
        <w:t>i casi</w:t>
      </w:r>
      <w:r w:rsidR="000A5FDD">
        <w:t>,</w:t>
      </w:r>
      <w:r w:rsidR="0076642F">
        <w:t xml:space="preserve"> le modalità </w:t>
      </w:r>
      <w:r w:rsidR="000A5FDD">
        <w:t xml:space="preserve">e le condizioni </w:t>
      </w:r>
      <w:r w:rsidR="0076642F">
        <w:t>in cui è possibile procedere a svincolo anticipato del bene</w:t>
      </w:r>
      <w:r w:rsidR="00506B3C">
        <w:t xml:space="preserve"> o al trasferimento del vincolo a terzi, nonché alla sostituzione del bene </w:t>
      </w:r>
      <w:r w:rsidR="006B18C5" w:rsidRPr="006B18C5">
        <w:rPr>
          <w:i/>
          <w:color w:val="FF0000"/>
        </w:rPr>
        <w:t xml:space="preserve"> </w:t>
      </w:r>
      <w:r w:rsidR="00506B3C">
        <w:t>con altri</w:t>
      </w:r>
      <w:r w:rsidR="005A5383">
        <w:t xml:space="preserve"> di valore e capacità corrispondenti</w:t>
      </w:r>
      <w:r w:rsidR="009B006D">
        <w:t xml:space="preserve">, fatti salvi i </w:t>
      </w:r>
      <w:r w:rsidR="000F0F06">
        <w:t>principi</w:t>
      </w:r>
      <w:r w:rsidR="009B006D">
        <w:t xml:space="preserve"> previsti dal</w:t>
      </w:r>
      <w:r w:rsidR="00B625CA">
        <w:t>la normativa comunitaria</w:t>
      </w:r>
      <w:r w:rsidR="0076642F">
        <w:t xml:space="preserve">. </w:t>
      </w:r>
    </w:p>
    <w:p w:rsidR="00A800BA" w:rsidRPr="0023511B" w:rsidRDefault="00A24FE2" w:rsidP="00273BE4">
      <w:pPr>
        <w:spacing w:before="120"/>
        <w:ind w:right="126"/>
        <w:jc w:val="both"/>
      </w:pPr>
      <w:r w:rsidRPr="0023511B">
        <w:t>Qualora</w:t>
      </w:r>
      <w:r w:rsidR="00057FCE" w:rsidRPr="0023511B">
        <w:t>,</w:t>
      </w:r>
      <w:r w:rsidR="00EA43F3" w:rsidRPr="0023511B">
        <w:t xml:space="preserve"> per esigenze </w:t>
      </w:r>
      <w:r w:rsidR="00E6625B" w:rsidRPr="0023511B">
        <w:t>imprenditoriali</w:t>
      </w:r>
      <w:r w:rsidR="00057FCE" w:rsidRPr="0023511B">
        <w:t>,</w:t>
      </w:r>
      <w:r w:rsidR="00E6625B" w:rsidRPr="0023511B">
        <w:t xml:space="preserve"> un impianto fisso </w:t>
      </w:r>
      <w:r w:rsidR="00506B3C" w:rsidRPr="0023511B">
        <w:t xml:space="preserve">o un macchinario </w:t>
      </w:r>
      <w:r w:rsidR="00E6625B" w:rsidRPr="0023511B">
        <w:t xml:space="preserve">oggetto di finanziamento necessiti di essere spostato dall’insediamento produttivo ove lo stesso </w:t>
      </w:r>
      <w:r w:rsidR="00057FCE" w:rsidRPr="0023511B">
        <w:t>è</w:t>
      </w:r>
      <w:r w:rsidR="00E6625B" w:rsidRPr="0023511B">
        <w:t xml:space="preserve"> stato installato ad un altro </w:t>
      </w:r>
      <w:r w:rsidRPr="0023511B">
        <w:t xml:space="preserve">sito </w:t>
      </w:r>
      <w:r w:rsidR="00E6625B" w:rsidRPr="0023511B">
        <w:t>appartenente allo stesso beneficiario</w:t>
      </w:r>
      <w:r w:rsidR="00057FCE" w:rsidRPr="0023511B">
        <w:t>,</w:t>
      </w:r>
      <w:r w:rsidR="00E6625B" w:rsidRPr="0023511B">
        <w:t xml:space="preserve"> il beneficiario medesimo ne deve dare preventiva comunicazione al</w:t>
      </w:r>
      <w:r w:rsidR="00442737" w:rsidRPr="0023511B">
        <w:t>l’autorità</w:t>
      </w:r>
      <w:r w:rsidR="00E6625B" w:rsidRPr="0023511B">
        <w:t xml:space="preserve"> che ha emesso il provvedimento di concessione del contributo.</w:t>
      </w:r>
      <w:r w:rsidR="00F16DEB" w:rsidRPr="0023511B">
        <w:t xml:space="preserve"> </w:t>
      </w:r>
      <w:r w:rsidR="0023511B" w:rsidRPr="0023511B">
        <w:t>Tale spostamento non dovrà comportare un indebito vantaggio, derivante dall’applicazione di condizioni o criteri di selezione più favorevoli (p.e. maggiore tasso di aiuto o priorità di selezione per la localizzazione in zona svantaggiata).</w:t>
      </w:r>
    </w:p>
    <w:p w:rsidR="00860F91" w:rsidRPr="00A01342" w:rsidRDefault="00860F91" w:rsidP="00860F91">
      <w:pPr>
        <w:spacing w:before="120"/>
        <w:ind w:right="126"/>
        <w:jc w:val="both"/>
      </w:pPr>
      <w:r w:rsidRPr="00A01342">
        <w:t>In caso di subentro di uno o più giovani imprenditori in un’azienda agricola preesistente, devono essere rispettate le condizioni di cui al citato art. 71; in particolare, deve essere rispettato l’onere del vincolo di destinazione degli investimenti cofinanziati che aveva realizzato il cedente.</w:t>
      </w:r>
    </w:p>
    <w:p w:rsidR="00860F91" w:rsidRDefault="00860F91" w:rsidP="00A91601">
      <w:pPr>
        <w:spacing w:before="120"/>
        <w:ind w:right="126"/>
        <w:jc w:val="both"/>
      </w:pPr>
    </w:p>
    <w:p w:rsidR="00D811C0" w:rsidRDefault="001659CF" w:rsidP="00A91601">
      <w:pPr>
        <w:spacing w:before="120"/>
        <w:ind w:right="126"/>
        <w:jc w:val="both"/>
        <w:rPr>
          <w:b/>
        </w:rPr>
      </w:pPr>
      <w:r>
        <w:rPr>
          <w:b/>
        </w:rPr>
        <w:t>3.19 Assistenza tecnica</w:t>
      </w:r>
    </w:p>
    <w:p w:rsidR="00290F31" w:rsidRDefault="00BC7A50" w:rsidP="00D811C0">
      <w:pPr>
        <w:autoSpaceDE w:val="0"/>
        <w:autoSpaceDN w:val="0"/>
        <w:adjustRightInd w:val="0"/>
        <w:spacing w:before="120"/>
        <w:ind w:right="126"/>
        <w:jc w:val="both"/>
        <w:rPr>
          <w:color w:val="000000"/>
        </w:rPr>
      </w:pPr>
      <w:r>
        <w:rPr>
          <w:rFonts w:cs="Courier New"/>
          <w:szCs w:val="20"/>
        </w:rPr>
        <w:t>Second</w:t>
      </w:r>
      <w:r w:rsidR="007070B6">
        <w:rPr>
          <w:rFonts w:cs="Courier New"/>
          <w:szCs w:val="20"/>
        </w:rPr>
        <w:t>o quanto prescritto dall’art. 51 del Reg. (UE) n. 130</w:t>
      </w:r>
      <w:bookmarkStart w:id="38" w:name="_GoBack"/>
      <w:bookmarkEnd w:id="38"/>
      <w:r w:rsidR="007070B6">
        <w:rPr>
          <w:rFonts w:cs="Courier New"/>
          <w:szCs w:val="20"/>
        </w:rPr>
        <w:t>5/2013, il FEASR può finanziare attività di assistenza tecnica, da realizzarsi sia su iniziativa della Commissione (Rete europea per lo sviluppo rurale, rete PEI), che su iniziativa degli S</w:t>
      </w:r>
      <w:r w:rsidR="00290F31">
        <w:rPr>
          <w:rFonts w:cs="Courier New"/>
          <w:szCs w:val="20"/>
        </w:rPr>
        <w:t>t</w:t>
      </w:r>
      <w:r w:rsidR="007070B6">
        <w:rPr>
          <w:rFonts w:cs="Courier New"/>
          <w:szCs w:val="20"/>
        </w:rPr>
        <w:t>ati membri</w:t>
      </w:r>
      <w:r w:rsidR="00DA1725">
        <w:rPr>
          <w:color w:val="000000"/>
        </w:rPr>
        <w:t>, ivi compresa la creazione e il funzionamento della rete rurale nazionale.</w:t>
      </w:r>
    </w:p>
    <w:p w:rsidR="00D811C0" w:rsidRPr="00290F31" w:rsidRDefault="00D811C0" w:rsidP="00D811C0">
      <w:pPr>
        <w:autoSpaceDE w:val="0"/>
        <w:autoSpaceDN w:val="0"/>
        <w:adjustRightInd w:val="0"/>
        <w:spacing w:before="120"/>
        <w:ind w:right="126"/>
        <w:jc w:val="both"/>
      </w:pPr>
      <w:r w:rsidRPr="00290F31">
        <w:t>Fatto salvo quanto diversamente disposto dalle Autorità di gestione dei singoli programmi, ai fini della erogazione dei finanziamenti si individuano</w:t>
      </w:r>
      <w:r w:rsidR="00766DC9" w:rsidRPr="00290F31">
        <w:t>,</w:t>
      </w:r>
      <w:r w:rsidRPr="00290F31">
        <w:t xml:space="preserve"> quali </w:t>
      </w:r>
      <w:r w:rsidR="00290F31">
        <w:t>destinatari del</w:t>
      </w:r>
      <w:r w:rsidR="00A141A6" w:rsidRPr="00290F31">
        <w:t xml:space="preserve"> </w:t>
      </w:r>
      <w:r w:rsidRPr="00290F31">
        <w:t>pagamento</w:t>
      </w:r>
      <w:r w:rsidR="00766DC9" w:rsidRPr="00290F31">
        <w:t>,</w:t>
      </w:r>
      <w:r w:rsidRPr="00290F31">
        <w:t xml:space="preserve"> i soggetti selezionati per la fornitura dei s</w:t>
      </w:r>
      <w:r w:rsidR="00290F31">
        <w:t>ervizi nell’ambito della misura</w:t>
      </w:r>
      <w:r w:rsidRPr="00290F31">
        <w:t xml:space="preserve"> 20 </w:t>
      </w:r>
      <w:r w:rsidR="00290F31">
        <w:t>“</w:t>
      </w:r>
      <w:r w:rsidRPr="00290F31">
        <w:t>Assistenza Tecnica</w:t>
      </w:r>
      <w:r w:rsidR="00290F31">
        <w:t>”</w:t>
      </w:r>
      <w:r w:rsidRPr="00290F31">
        <w:t xml:space="preserve">.  Rientrano in tale tipologia gli interventi della Rete Rurale Nazionale.  </w:t>
      </w:r>
    </w:p>
    <w:p w:rsidR="002A0606" w:rsidRPr="002A0606" w:rsidRDefault="002A0606" w:rsidP="00D811C0">
      <w:pPr>
        <w:autoSpaceDE w:val="0"/>
        <w:autoSpaceDN w:val="0"/>
        <w:adjustRightInd w:val="0"/>
        <w:spacing w:before="120"/>
        <w:ind w:right="126"/>
        <w:jc w:val="both"/>
      </w:pPr>
      <w:r w:rsidRPr="007330CB">
        <w:t>Le attività di assistenza tecnica possono essere attuate direttamente dall’Autorità di Gestione o, più comunemente, tramite il ricorso ad organismi o soggetti attuatori. Nel caso di ricorso a soggetti terzi, sarà necessario assicurare il rispetto della normativa generale sugli appalti, già richiamata al paragrafo 3.11.</w:t>
      </w:r>
    </w:p>
    <w:p w:rsidR="002A0606" w:rsidRDefault="0009037B" w:rsidP="00D811C0">
      <w:pPr>
        <w:autoSpaceDE w:val="0"/>
        <w:autoSpaceDN w:val="0"/>
        <w:adjustRightInd w:val="0"/>
        <w:spacing w:before="120"/>
        <w:ind w:right="126"/>
        <w:jc w:val="both"/>
      </w:pPr>
      <w:r w:rsidRPr="00830999">
        <w:t>Sarà inoltre necessario assicurare</w:t>
      </w:r>
      <w:r w:rsidR="00232669" w:rsidRPr="00830999">
        <w:t xml:space="preserve">, </w:t>
      </w:r>
      <w:r w:rsidRPr="00830999">
        <w:t xml:space="preserve">come già definito al paragrafo 2.2, la congruità e la ragionevolezza dei costi. </w:t>
      </w:r>
      <w:r w:rsidR="00232669" w:rsidRPr="00830999">
        <w:t>Nel caso specifico dei costi per il personale, e con particolare riferimento alle valutazioni di economicità e convenienza necessarie a giustificare affidamenti diretti “in house” o in convenzione, tale dimostrazione potrà essere fatt</w:t>
      </w:r>
      <w:r w:rsidR="00B02302" w:rsidRPr="00830999">
        <w:t>a con riferimento ai vigenti contratti collettivi nazionali</w:t>
      </w:r>
      <w:r w:rsidR="00557140" w:rsidRPr="00830999">
        <w:t xml:space="preserve"> o tramite criteri comparativi mediante idonee ricerche di mercato.</w:t>
      </w:r>
      <w:r w:rsidR="00B02302">
        <w:t xml:space="preserve"> </w:t>
      </w:r>
    </w:p>
    <w:p w:rsidR="00B02302" w:rsidRDefault="00B02302" w:rsidP="00D811C0">
      <w:pPr>
        <w:autoSpaceDE w:val="0"/>
        <w:autoSpaceDN w:val="0"/>
        <w:adjustRightInd w:val="0"/>
        <w:spacing w:before="120"/>
        <w:ind w:right="126"/>
        <w:jc w:val="both"/>
      </w:pPr>
      <w:r w:rsidRPr="00830999">
        <w:lastRenderedPageBreak/>
        <w:t>Per quanto riguarda le tariffe di consulenti o collaboratori, può essere fatto riferimento alla circolare del Minis</w:t>
      </w:r>
      <w:r w:rsidR="00541B76" w:rsidRPr="00830999">
        <w:t>tero</w:t>
      </w:r>
      <w:r w:rsidRPr="00830999">
        <w:t xml:space="preserve"> del Lavoro e Previdenza sociale n. 2 del 2 febbraio 2009 e successive modifiche, integrazioni ed aggiornamenti</w:t>
      </w:r>
      <w:r w:rsidR="00557140" w:rsidRPr="00830999">
        <w:t>, e alle tariffe previste da programmi finanziati integralmente dall'Unione europea, aventi caratteristiche assimilabili, quali ad esempio il Twinning</w:t>
      </w:r>
      <w:r w:rsidRPr="00830999">
        <w:t>.</w:t>
      </w:r>
      <w:r>
        <w:t xml:space="preserve"> </w:t>
      </w:r>
    </w:p>
    <w:p w:rsidR="007933E3" w:rsidRPr="008B2F06" w:rsidRDefault="00E63434" w:rsidP="007933E3">
      <w:pPr>
        <w:jc w:val="both"/>
        <w:rPr>
          <w:rFonts w:eastAsia="Cambria"/>
          <w:lang w:eastAsia="en-US"/>
        </w:rPr>
      </w:pPr>
      <w:r w:rsidRPr="002C4330">
        <w:t>Per le spese</w:t>
      </w:r>
      <w:r w:rsidR="00530F1A" w:rsidRPr="002C4330">
        <w:t xml:space="preserve"> relative all’acquisto di beni materiali e immateriali (ad es. hardware e software), gli stessi devono essere utilizzati per attività connesse </w:t>
      </w:r>
      <w:r w:rsidR="007B43EC" w:rsidRPr="002C4330">
        <w:t>al programma di sviluppo rurale approvato</w:t>
      </w:r>
      <w:r w:rsidR="00530F1A" w:rsidRPr="002C4330">
        <w:t>, pianificando in fase preventiva i fabbisogni di utilizzo.</w:t>
      </w:r>
      <w:r w:rsidR="00557140" w:rsidRPr="002C4330">
        <w:t xml:space="preserve"> La selezione dei fornitori dei beni e servizi, ivi compresi i consulenti, potrà essere fatta tramite procedura comparativa, ovvero tramite l'utilizzo di albi di fornitori che garantiscano criteri di trasparenza e </w:t>
      </w:r>
      <w:r w:rsidR="00557140" w:rsidRPr="007933E3">
        <w:t>pubblicità.</w:t>
      </w:r>
      <w:r w:rsidR="007933E3" w:rsidRPr="007933E3">
        <w:t xml:space="preserve"> Si ricorda inoltre che, per i costi indire</w:t>
      </w:r>
      <w:r w:rsidR="001543DB">
        <w:t xml:space="preserve">tti, </w:t>
      </w:r>
      <w:r w:rsidR="007933E3" w:rsidRPr="007933E3">
        <w:t>si possono applicare le disposizioni del comma 1 lettera a) o in alternativa lettera b) dell’art. 68 del Reg. (UE) n. 1303/2013.</w:t>
      </w:r>
    </w:p>
    <w:p w:rsidR="00D811C0" w:rsidRPr="002675BB" w:rsidRDefault="00D811C0" w:rsidP="00E63434">
      <w:pPr>
        <w:jc w:val="both"/>
        <w:rPr>
          <w:b/>
        </w:rPr>
      </w:pPr>
    </w:p>
    <w:p w:rsidR="00EE102F" w:rsidRPr="00183A40" w:rsidRDefault="009E46E3" w:rsidP="00A91601">
      <w:pPr>
        <w:spacing w:before="120"/>
        <w:ind w:right="126"/>
        <w:jc w:val="both"/>
        <w:rPr>
          <w:b/>
        </w:rPr>
      </w:pPr>
      <w:r>
        <w:rPr>
          <w:b/>
        </w:rPr>
        <w:br w:type="page"/>
      </w:r>
      <w:r w:rsidR="00746DDE">
        <w:rPr>
          <w:b/>
        </w:rPr>
        <w:lastRenderedPageBreak/>
        <w:t>4</w:t>
      </w:r>
      <w:r w:rsidR="00EE102F" w:rsidRPr="00183A40">
        <w:rPr>
          <w:b/>
        </w:rPr>
        <w:t xml:space="preserve">. </w:t>
      </w:r>
      <w:r w:rsidR="00EE102F" w:rsidRPr="00183A40">
        <w:rPr>
          <w:b/>
        </w:rPr>
        <w:tab/>
        <w:t>SPESE NON AMMISSIBILI, VINCOLI E LIMITAZIONI</w:t>
      </w:r>
    </w:p>
    <w:p w:rsidR="00EE102F" w:rsidRPr="00284557" w:rsidRDefault="00EE102F" w:rsidP="00273BE4">
      <w:pPr>
        <w:spacing w:before="120"/>
        <w:ind w:right="126"/>
        <w:jc w:val="both"/>
        <w:rPr>
          <w:b/>
        </w:rPr>
      </w:pPr>
    </w:p>
    <w:p w:rsidR="00B50A45" w:rsidRPr="00B50A45" w:rsidRDefault="00EE102F" w:rsidP="00A8483C">
      <w:pPr>
        <w:spacing w:before="120"/>
        <w:ind w:right="126"/>
        <w:jc w:val="both"/>
        <w:rPr>
          <w:i/>
          <w:snapToGrid w:val="0"/>
        </w:rPr>
      </w:pPr>
      <w:r w:rsidRPr="00E93489">
        <w:rPr>
          <w:snapToGrid w:val="0"/>
        </w:rPr>
        <w:t xml:space="preserve">In base all’art. </w:t>
      </w:r>
      <w:r w:rsidR="00B50A45">
        <w:rPr>
          <w:snapToGrid w:val="0"/>
        </w:rPr>
        <w:t>69</w:t>
      </w:r>
      <w:r w:rsidRPr="00E93489">
        <w:rPr>
          <w:snapToGrid w:val="0"/>
        </w:rPr>
        <w:t xml:space="preserve">, comma 3, del Reg. </w:t>
      </w:r>
      <w:r>
        <w:rPr>
          <w:snapToGrid w:val="0"/>
        </w:rPr>
        <w:t>(</w:t>
      </w:r>
      <w:r w:rsidR="00B50A45">
        <w:rPr>
          <w:snapToGrid w:val="0"/>
        </w:rPr>
        <w:t>U</w:t>
      </w:r>
      <w:r w:rsidR="00B50A45" w:rsidRPr="00E93489">
        <w:rPr>
          <w:snapToGrid w:val="0"/>
        </w:rPr>
        <w:t>E</w:t>
      </w:r>
      <w:r>
        <w:rPr>
          <w:snapToGrid w:val="0"/>
        </w:rPr>
        <w:t>)</w:t>
      </w:r>
      <w:r w:rsidRPr="00E93489">
        <w:rPr>
          <w:snapToGrid w:val="0"/>
        </w:rPr>
        <w:t xml:space="preserve"> n. </w:t>
      </w:r>
      <w:r w:rsidR="00B50A45">
        <w:rPr>
          <w:snapToGrid w:val="0"/>
        </w:rPr>
        <w:t>1303/2013</w:t>
      </w:r>
      <w:r w:rsidRPr="00E93489">
        <w:rPr>
          <w:snapToGrid w:val="0"/>
        </w:rPr>
        <w:t xml:space="preserve">, si ricorda che </w:t>
      </w:r>
      <w:r w:rsidRPr="00E93489">
        <w:rPr>
          <w:i/>
          <w:snapToGrid w:val="0"/>
        </w:rPr>
        <w:t xml:space="preserve">“non sono ammissibili a contributo </w:t>
      </w:r>
      <w:r w:rsidR="00B50A45">
        <w:rPr>
          <w:i/>
          <w:snapToGrid w:val="0"/>
        </w:rPr>
        <w:t>dei Fondi SIE</w:t>
      </w:r>
      <w:r w:rsidR="00A8483C">
        <w:rPr>
          <w:i/>
          <w:snapToGrid w:val="0"/>
        </w:rPr>
        <w:t>,</w:t>
      </w:r>
      <w:r w:rsidR="00B50A45">
        <w:rPr>
          <w:i/>
          <w:snapToGrid w:val="0"/>
        </w:rPr>
        <w:t xml:space="preserve"> </w:t>
      </w:r>
      <w:r w:rsidR="00B50A45" w:rsidRPr="00B50A45">
        <w:rPr>
          <w:i/>
          <w:snapToGrid w:val="0"/>
        </w:rPr>
        <w:t>i seguenti costi:</w:t>
      </w:r>
    </w:p>
    <w:p w:rsidR="00B50A45" w:rsidRPr="00B50A45" w:rsidRDefault="00B50A45" w:rsidP="00B50A45">
      <w:pPr>
        <w:tabs>
          <w:tab w:val="left" w:pos="540"/>
        </w:tabs>
        <w:spacing w:before="120"/>
        <w:ind w:right="126"/>
        <w:jc w:val="both"/>
        <w:rPr>
          <w:i/>
          <w:snapToGrid w:val="0"/>
        </w:rPr>
      </w:pPr>
      <w:r w:rsidRPr="00B50A45">
        <w:rPr>
          <w:i/>
          <w:snapToGrid w:val="0"/>
        </w:rPr>
        <w:t>a) interessi passivi, a eccezione di quelli relativi a sovvenzioni concesse sotto forma di abbuono d'interessi o di un bonifico sulla commissione di garanzia;</w:t>
      </w:r>
    </w:p>
    <w:p w:rsidR="00B50A45" w:rsidRPr="00B50A45" w:rsidRDefault="00B50A45" w:rsidP="00B50A45">
      <w:pPr>
        <w:tabs>
          <w:tab w:val="left" w:pos="540"/>
        </w:tabs>
        <w:spacing w:before="120"/>
        <w:ind w:right="126"/>
        <w:jc w:val="both"/>
        <w:rPr>
          <w:i/>
          <w:snapToGrid w:val="0"/>
        </w:rPr>
      </w:pPr>
      <w:r w:rsidRPr="00B50A45">
        <w:rPr>
          <w:i/>
          <w:snapToGrid w:val="0"/>
        </w:rPr>
        <w:t>b) l'acquisto di terreni non edificati e di terreni edificati per un importo superiore al 10 % della spesa totale ammissibile dell'operazione considerata. Per i siti in stato di degrado e per quelli precedentemente adibiti a uso industriale che comprendono edifici, tale limite è aumentato al 15 %. In casi eccezionali e debitamente giustificati, il limite può essere elevato al di sopra delle rispettive percentuali di cui sopra per operazioni a tutela dell'ambiente;</w:t>
      </w:r>
    </w:p>
    <w:p w:rsidR="00EE102F" w:rsidRPr="00E93489" w:rsidRDefault="00B50A45" w:rsidP="00B50A45">
      <w:pPr>
        <w:tabs>
          <w:tab w:val="left" w:pos="540"/>
        </w:tabs>
        <w:spacing w:before="120"/>
        <w:ind w:right="126"/>
        <w:jc w:val="both"/>
        <w:rPr>
          <w:snapToGrid w:val="0"/>
        </w:rPr>
      </w:pPr>
      <w:r w:rsidRPr="00B50A45">
        <w:rPr>
          <w:i/>
          <w:snapToGrid w:val="0"/>
        </w:rPr>
        <w:t>c) imposta sul valore aggiunto salvo nei casi in cui non sia recuperabile a norma della normativa nazionale sull'IVA.</w:t>
      </w:r>
    </w:p>
    <w:p w:rsidR="00EE102F" w:rsidRPr="00E93489" w:rsidRDefault="00EE102F" w:rsidP="00273BE4">
      <w:pPr>
        <w:spacing w:before="120"/>
        <w:ind w:right="126"/>
        <w:jc w:val="both"/>
        <w:rPr>
          <w:snapToGrid w:val="0"/>
        </w:rPr>
      </w:pPr>
      <w:r w:rsidRPr="00E93489">
        <w:rPr>
          <w:snapToGrid w:val="0"/>
        </w:rPr>
        <w:t xml:space="preserve"> La spesa per interessi passivi non è ammissibile, fatto salvo quanto riportato nel Reg. </w:t>
      </w:r>
      <w:r>
        <w:rPr>
          <w:snapToGrid w:val="0"/>
        </w:rPr>
        <w:t>(</w:t>
      </w:r>
      <w:r w:rsidR="000A607F">
        <w:rPr>
          <w:snapToGrid w:val="0"/>
        </w:rPr>
        <w:t>U</w:t>
      </w:r>
      <w:r w:rsidR="000A607F" w:rsidRPr="00E93489">
        <w:rPr>
          <w:snapToGrid w:val="0"/>
        </w:rPr>
        <w:t>E</w:t>
      </w:r>
      <w:r>
        <w:rPr>
          <w:snapToGrid w:val="0"/>
        </w:rPr>
        <w:t>)</w:t>
      </w:r>
      <w:r w:rsidRPr="00E93489">
        <w:rPr>
          <w:snapToGrid w:val="0"/>
        </w:rPr>
        <w:t xml:space="preserve"> n. </w:t>
      </w:r>
      <w:r w:rsidR="000A607F">
        <w:rPr>
          <w:snapToGrid w:val="0"/>
        </w:rPr>
        <w:t>13052013 e nei regolamenti di esecuzione laddove è espressamente previsto</w:t>
      </w:r>
      <w:r w:rsidRPr="00E93489">
        <w:rPr>
          <w:snapToGrid w:val="0"/>
        </w:rPr>
        <w:t xml:space="preserve"> </w:t>
      </w:r>
      <w:r w:rsidR="000A607F">
        <w:rPr>
          <w:snapToGrid w:val="0"/>
        </w:rPr>
        <w:t xml:space="preserve">la </w:t>
      </w:r>
      <w:r>
        <w:rPr>
          <w:snapToGrid w:val="0"/>
        </w:rPr>
        <w:t xml:space="preserve"> che il contributo </w:t>
      </w:r>
      <w:r w:rsidRPr="00E93489">
        <w:rPr>
          <w:snapToGrid w:val="0"/>
        </w:rPr>
        <w:t>del F</w:t>
      </w:r>
      <w:r>
        <w:rPr>
          <w:snapToGrid w:val="0"/>
        </w:rPr>
        <w:t>easr</w:t>
      </w:r>
      <w:r w:rsidRPr="00E93489">
        <w:rPr>
          <w:snapToGrid w:val="0"/>
        </w:rPr>
        <w:t xml:space="preserve"> </w:t>
      </w:r>
      <w:r>
        <w:rPr>
          <w:snapToGrid w:val="0"/>
        </w:rPr>
        <w:t xml:space="preserve">può essere concesso in forme diverse </w:t>
      </w:r>
      <w:r w:rsidRPr="00E93489">
        <w:rPr>
          <w:snapToGrid w:val="0"/>
        </w:rPr>
        <w:t xml:space="preserve">dagli aiuti </w:t>
      </w:r>
      <w:r>
        <w:rPr>
          <w:snapToGrid w:val="0"/>
        </w:rPr>
        <w:t xml:space="preserve">diretti </w:t>
      </w:r>
      <w:r w:rsidRPr="00E93489">
        <w:rPr>
          <w:snapToGrid w:val="0"/>
        </w:rPr>
        <w:t>a fondo perduto.</w:t>
      </w:r>
    </w:p>
    <w:p w:rsidR="00EE102F" w:rsidRDefault="00EE102F" w:rsidP="00183A40">
      <w:pPr>
        <w:spacing w:before="120"/>
        <w:ind w:right="126"/>
        <w:jc w:val="both"/>
        <w:rPr>
          <w:snapToGrid w:val="0"/>
        </w:rPr>
      </w:pPr>
      <w:r w:rsidRPr="00E93489">
        <w:rPr>
          <w:snapToGrid w:val="0"/>
        </w:rPr>
        <w:t xml:space="preserve">Inoltre, in base all’art. </w:t>
      </w:r>
      <w:r w:rsidR="000B5B5E">
        <w:rPr>
          <w:snapToGrid w:val="0"/>
        </w:rPr>
        <w:t>4</w:t>
      </w:r>
      <w:r w:rsidR="000B5B5E" w:rsidRPr="00E93489">
        <w:rPr>
          <w:snapToGrid w:val="0"/>
        </w:rPr>
        <w:t xml:space="preserve">5 </w:t>
      </w:r>
      <w:r w:rsidRPr="00E93489">
        <w:rPr>
          <w:snapToGrid w:val="0"/>
        </w:rPr>
        <w:t xml:space="preserve">del Reg. </w:t>
      </w:r>
      <w:r>
        <w:rPr>
          <w:snapToGrid w:val="0"/>
        </w:rPr>
        <w:t>(</w:t>
      </w:r>
      <w:r w:rsidRPr="00E93489">
        <w:rPr>
          <w:snapToGrid w:val="0"/>
        </w:rPr>
        <w:t>CE</w:t>
      </w:r>
      <w:r>
        <w:rPr>
          <w:snapToGrid w:val="0"/>
        </w:rPr>
        <w:t>)</w:t>
      </w:r>
      <w:r w:rsidRPr="00E93489">
        <w:rPr>
          <w:snapToGrid w:val="0"/>
        </w:rPr>
        <w:t xml:space="preserve"> n. </w:t>
      </w:r>
      <w:r w:rsidR="000B5B5E">
        <w:rPr>
          <w:snapToGrid w:val="0"/>
        </w:rPr>
        <w:t>1305</w:t>
      </w:r>
      <w:r w:rsidRPr="00E93489">
        <w:rPr>
          <w:snapToGrid w:val="0"/>
        </w:rPr>
        <w:t>/20</w:t>
      </w:r>
      <w:r w:rsidR="000B5B5E">
        <w:rPr>
          <w:snapToGrid w:val="0"/>
        </w:rPr>
        <w:t>13</w:t>
      </w:r>
      <w:r w:rsidRPr="00E93489">
        <w:rPr>
          <w:snapToGrid w:val="0"/>
        </w:rPr>
        <w:t>, non sono ammissibili</w:t>
      </w:r>
      <w:r w:rsidR="00FF10E8">
        <w:rPr>
          <w:snapToGrid w:val="0"/>
        </w:rPr>
        <w:t>, nel caso di investiment</w:t>
      </w:r>
      <w:r w:rsidR="003B6ED5">
        <w:rPr>
          <w:snapToGrid w:val="0"/>
        </w:rPr>
        <w:t>i</w:t>
      </w:r>
      <w:r w:rsidR="00FF10E8">
        <w:rPr>
          <w:snapToGrid w:val="0"/>
        </w:rPr>
        <w:t xml:space="preserve"> per l’acquisto di nuove macchine ed attrezzature (compresi i programmi informatici) attraverso un contratto di  leasing con patto di acquisto,</w:t>
      </w:r>
      <w:r w:rsidRPr="00E93489">
        <w:rPr>
          <w:snapToGrid w:val="0"/>
        </w:rPr>
        <w:t xml:space="preserve"> le spese conness</w:t>
      </w:r>
      <w:r w:rsidR="00FF10E8">
        <w:rPr>
          <w:snapToGrid w:val="0"/>
        </w:rPr>
        <w:t>e</w:t>
      </w:r>
      <w:r w:rsidRPr="00E93489">
        <w:rPr>
          <w:snapToGrid w:val="0"/>
        </w:rPr>
        <w:t xml:space="preserve"> </w:t>
      </w:r>
      <w:r w:rsidR="00FF10E8">
        <w:rPr>
          <w:snapToGrid w:val="0"/>
        </w:rPr>
        <w:t>a tale</w:t>
      </w:r>
      <w:r w:rsidR="00FF10E8" w:rsidRPr="00E93489">
        <w:rPr>
          <w:snapToGrid w:val="0"/>
        </w:rPr>
        <w:t xml:space="preserve"> </w:t>
      </w:r>
      <w:r w:rsidRPr="00E93489">
        <w:rPr>
          <w:snapToGrid w:val="0"/>
        </w:rPr>
        <w:t>contratto</w:t>
      </w:r>
      <w:r w:rsidR="00FF10E8">
        <w:rPr>
          <w:snapToGrid w:val="0"/>
        </w:rPr>
        <w:t xml:space="preserve">: </w:t>
      </w:r>
      <w:r w:rsidRPr="00E93489">
        <w:rPr>
          <w:snapToGrid w:val="0"/>
        </w:rPr>
        <w:t>garanzia del concedente, costi di rifinanziamento degli interessi, spese generali, oneri assicurativi, ecc</w:t>
      </w:r>
      <w:r>
        <w:rPr>
          <w:snapToGrid w:val="0"/>
        </w:rPr>
        <w:t>.</w:t>
      </w:r>
    </w:p>
    <w:p w:rsidR="00EE102F" w:rsidRPr="00EE102F" w:rsidRDefault="00EE102F" w:rsidP="00273BE4">
      <w:pPr>
        <w:spacing w:before="120"/>
        <w:ind w:left="539" w:right="126" w:hanging="540"/>
        <w:jc w:val="both"/>
        <w:rPr>
          <w:b/>
        </w:rPr>
      </w:pPr>
      <w:r w:rsidRPr="002D45FF">
        <w:rPr>
          <w:b/>
        </w:rPr>
        <w:t xml:space="preserve"> </w:t>
      </w:r>
    </w:p>
    <w:p w:rsidR="005453A8" w:rsidRPr="00183A40" w:rsidRDefault="005453A8" w:rsidP="00273BE4">
      <w:pPr>
        <w:spacing w:before="120"/>
        <w:ind w:left="539" w:right="126" w:hanging="540"/>
        <w:jc w:val="both"/>
      </w:pPr>
      <w:r w:rsidRPr="00183A40">
        <w:t xml:space="preserve">Relativamente agli </w:t>
      </w:r>
      <w:r w:rsidRPr="00183A40">
        <w:rPr>
          <w:b/>
          <w:u w:val="single"/>
        </w:rPr>
        <w:t>investimenti agricoli</w:t>
      </w:r>
      <w:r w:rsidRPr="00183A40">
        <w:t>, inoltre, non sono ammissibili le seguenti voci di spesa:</w:t>
      </w:r>
    </w:p>
    <w:p w:rsidR="005453A8" w:rsidRPr="00183A40" w:rsidRDefault="000A607F" w:rsidP="0093020D">
      <w:pPr>
        <w:numPr>
          <w:ilvl w:val="0"/>
          <w:numId w:val="24"/>
        </w:numPr>
        <w:spacing w:before="120"/>
        <w:ind w:right="126"/>
        <w:jc w:val="both"/>
      </w:pPr>
      <w:r>
        <w:t xml:space="preserve">acquisto di </w:t>
      </w:r>
      <w:r w:rsidR="005453A8" w:rsidRPr="00183A40">
        <w:t>diritti di produzione agricola;</w:t>
      </w:r>
    </w:p>
    <w:p w:rsidR="005453A8" w:rsidRPr="00183A40" w:rsidRDefault="000A607F" w:rsidP="0093020D">
      <w:pPr>
        <w:numPr>
          <w:ilvl w:val="0"/>
          <w:numId w:val="24"/>
        </w:numPr>
        <w:spacing w:before="120"/>
        <w:ind w:right="126"/>
        <w:jc w:val="both"/>
      </w:pPr>
      <w:r>
        <w:t>acquisto di diritti all’aiuto</w:t>
      </w:r>
      <w:r w:rsidR="005453A8" w:rsidRPr="00183A40">
        <w:t>;</w:t>
      </w:r>
    </w:p>
    <w:p w:rsidR="005453A8" w:rsidRPr="00183A40" w:rsidRDefault="005453A8" w:rsidP="0093020D">
      <w:pPr>
        <w:numPr>
          <w:ilvl w:val="0"/>
          <w:numId w:val="24"/>
        </w:numPr>
        <w:spacing w:before="120"/>
        <w:ind w:right="126"/>
        <w:jc w:val="both"/>
      </w:pPr>
      <w:r w:rsidRPr="00183A40">
        <w:t>acquisto di animali;</w:t>
      </w:r>
    </w:p>
    <w:p w:rsidR="005453A8" w:rsidRPr="00183A40" w:rsidRDefault="005453A8" w:rsidP="0093020D">
      <w:pPr>
        <w:numPr>
          <w:ilvl w:val="0"/>
          <w:numId w:val="24"/>
        </w:numPr>
        <w:spacing w:before="120"/>
        <w:ind w:right="126"/>
        <w:jc w:val="both"/>
      </w:pPr>
      <w:r w:rsidRPr="00183A40">
        <w:t>acquisto di piante annuali e loro messa a dimora.</w:t>
      </w:r>
    </w:p>
    <w:p w:rsidR="005453A8" w:rsidRDefault="000A607F" w:rsidP="00183A40">
      <w:pPr>
        <w:spacing w:before="120"/>
        <w:ind w:right="126"/>
        <w:jc w:val="both"/>
      </w:pPr>
      <w:r>
        <w:rPr>
          <w:snapToGrid w:val="0"/>
        </w:rPr>
        <w:t>T</w:t>
      </w:r>
      <w:r w:rsidRPr="00B01F56">
        <w:rPr>
          <w:snapToGrid w:val="0"/>
        </w:rPr>
        <w:t>uttavia, in caso di ripristino del potenziale produttivo agricolo danneggiato da calamità naturali o eventi catastrofici ai sensi dell'art</w:t>
      </w:r>
      <w:r w:rsidR="0059275D">
        <w:rPr>
          <w:snapToGrid w:val="0"/>
        </w:rPr>
        <w:t>.</w:t>
      </w:r>
      <w:r w:rsidRPr="00B01F56">
        <w:rPr>
          <w:snapToGrid w:val="0"/>
        </w:rPr>
        <w:t xml:space="preserve"> 18, paragrafo 1, lettera b), le spese per l'acquisto di animali possono essere considerate ammissibili.</w:t>
      </w:r>
      <w:r w:rsidRPr="000A607F">
        <w:t xml:space="preserve"> </w:t>
      </w:r>
      <w:r>
        <w:t>Tali spese, rimangono non ammissibili nel caso la predetta  misura 5 venga attivata per operazioni legate all’introduzione di misure di prevenzione.</w:t>
      </w:r>
    </w:p>
    <w:p w:rsidR="009667A7" w:rsidRPr="009667A7" w:rsidRDefault="009667A7" w:rsidP="009667A7">
      <w:pPr>
        <w:spacing w:before="120"/>
        <w:ind w:right="126"/>
        <w:jc w:val="both"/>
      </w:pPr>
      <w:r w:rsidRPr="009667A7">
        <w:t xml:space="preserve">Il capitale circolante non è un costo ammissibile per le seguenti misure: 4.2, 8.1, 8.2, 8.6, </w:t>
      </w:r>
    </w:p>
    <w:p w:rsidR="00B027EC" w:rsidRDefault="00B027EC" w:rsidP="00183A40">
      <w:pPr>
        <w:spacing w:before="120"/>
        <w:ind w:right="126"/>
        <w:jc w:val="both"/>
      </w:pPr>
    </w:p>
    <w:p w:rsidR="00B027EC" w:rsidRDefault="00B027EC" w:rsidP="00183A40">
      <w:pPr>
        <w:spacing w:before="120"/>
        <w:ind w:right="126"/>
        <w:jc w:val="both"/>
      </w:pPr>
    </w:p>
    <w:p w:rsidR="00B027EC" w:rsidRDefault="00B027EC" w:rsidP="00183A40">
      <w:pPr>
        <w:spacing w:before="120"/>
        <w:ind w:right="126"/>
        <w:jc w:val="both"/>
      </w:pPr>
    </w:p>
    <w:p w:rsidR="00B027EC" w:rsidRDefault="00B027EC" w:rsidP="00183A40">
      <w:pPr>
        <w:spacing w:before="120"/>
        <w:ind w:right="126"/>
        <w:jc w:val="both"/>
      </w:pPr>
    </w:p>
    <w:p w:rsidR="00B027EC" w:rsidRDefault="00B027EC" w:rsidP="00183A40">
      <w:pPr>
        <w:spacing w:before="120"/>
        <w:ind w:right="126"/>
        <w:jc w:val="both"/>
      </w:pPr>
    </w:p>
    <w:p w:rsidR="00B027EC" w:rsidRDefault="00B027EC" w:rsidP="00183A40">
      <w:pPr>
        <w:spacing w:before="120"/>
        <w:ind w:right="126"/>
        <w:jc w:val="both"/>
      </w:pPr>
    </w:p>
    <w:p w:rsidR="00B027EC" w:rsidRDefault="00B027EC" w:rsidP="00183A40">
      <w:pPr>
        <w:spacing w:before="120"/>
        <w:ind w:right="126"/>
        <w:jc w:val="both"/>
      </w:pPr>
    </w:p>
    <w:p w:rsidR="004F4DE3" w:rsidRDefault="004F4DE3" w:rsidP="00183A40">
      <w:pPr>
        <w:spacing w:before="120"/>
        <w:ind w:right="126"/>
        <w:jc w:val="both"/>
      </w:pPr>
    </w:p>
    <w:p w:rsidR="00BA444F" w:rsidRDefault="00BA444F" w:rsidP="00183A40">
      <w:pPr>
        <w:spacing w:before="120"/>
        <w:ind w:right="126"/>
        <w:jc w:val="both"/>
      </w:pPr>
    </w:p>
    <w:p w:rsidR="004F4DE3" w:rsidRDefault="004F4DE3" w:rsidP="00183A40">
      <w:pPr>
        <w:spacing w:before="120"/>
        <w:ind w:right="126"/>
        <w:jc w:val="both"/>
      </w:pPr>
    </w:p>
    <w:p w:rsidR="00B027EC" w:rsidRDefault="00611533" w:rsidP="007A088B">
      <w:pPr>
        <w:spacing w:before="120"/>
        <w:ind w:right="126"/>
        <w:jc w:val="center"/>
      </w:pPr>
      <w:r w:rsidRPr="00611533">
        <w:rPr>
          <w:b/>
        </w:rPr>
        <w:t xml:space="preserve">Schede tecniche </w:t>
      </w:r>
      <w:r w:rsidR="00E07B7E">
        <w:rPr>
          <w:b/>
        </w:rPr>
        <w:t xml:space="preserve">indicative </w:t>
      </w:r>
      <w:r w:rsidRPr="00611533">
        <w:rPr>
          <w:b/>
        </w:rPr>
        <w:t xml:space="preserve">per l’ammissibilità delle spese per </w:t>
      </w:r>
      <w:r w:rsidR="004F4DE3">
        <w:rPr>
          <w:b/>
        </w:rPr>
        <w:t xml:space="preserve">determinate </w:t>
      </w:r>
      <w:r w:rsidRPr="00611533">
        <w:rPr>
          <w:b/>
        </w:rPr>
        <w:t>categorie di intervento</w:t>
      </w:r>
      <w:r w:rsidR="007A088B">
        <w:rPr>
          <w:b/>
        </w:rPr>
        <w:t xml:space="preserve">. </w:t>
      </w:r>
    </w:p>
    <w:p w:rsidR="00B027EC" w:rsidRDefault="00B027EC" w:rsidP="00183A40">
      <w:pPr>
        <w:spacing w:before="120"/>
        <w:ind w:right="126"/>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8280"/>
      </w:tblGrid>
      <w:tr w:rsidR="001B50B7" w:rsidRPr="00AD415A" w:rsidTr="00452302">
        <w:tc>
          <w:tcPr>
            <w:tcW w:w="10368" w:type="dxa"/>
            <w:gridSpan w:val="2"/>
            <w:shd w:val="clear" w:color="auto" w:fill="FFFFFF"/>
          </w:tcPr>
          <w:p w:rsidR="009B45A9" w:rsidRPr="00611533" w:rsidRDefault="009E46E3" w:rsidP="00273BE4">
            <w:pPr>
              <w:ind w:right="126"/>
              <w:jc w:val="center"/>
              <w:rPr>
                <w:b/>
              </w:rPr>
            </w:pPr>
            <w:r w:rsidRPr="00611533">
              <w:rPr>
                <w:snapToGrid w:val="0"/>
              </w:rPr>
              <w:br w:type="page"/>
            </w:r>
          </w:p>
          <w:p w:rsidR="001B50B7" w:rsidRPr="00611533" w:rsidRDefault="001B50B7" w:rsidP="00273BE4">
            <w:pPr>
              <w:pStyle w:val="Titolo"/>
              <w:spacing w:before="0" w:after="0"/>
              <w:ind w:right="126"/>
              <w:rPr>
                <w:iCs/>
                <w:snapToGrid w:val="0"/>
                <w:kern w:val="0"/>
                <w:sz w:val="24"/>
                <w:szCs w:val="24"/>
              </w:rPr>
            </w:pPr>
            <w:bookmarkStart w:id="39" w:name="_Toc432090727"/>
            <w:r w:rsidRPr="00611533">
              <w:rPr>
                <w:iCs/>
                <w:snapToGrid w:val="0"/>
                <w:kern w:val="0"/>
                <w:sz w:val="24"/>
                <w:szCs w:val="24"/>
              </w:rPr>
              <w:t xml:space="preserve">1 </w:t>
            </w:r>
            <w:r w:rsidR="00310FC8" w:rsidRPr="00611533">
              <w:rPr>
                <w:iCs/>
                <w:snapToGrid w:val="0"/>
                <w:kern w:val="0"/>
                <w:sz w:val="24"/>
                <w:szCs w:val="24"/>
              </w:rPr>
              <w:t>–</w:t>
            </w:r>
            <w:r w:rsidRPr="00611533">
              <w:rPr>
                <w:iCs/>
                <w:snapToGrid w:val="0"/>
                <w:kern w:val="0"/>
                <w:sz w:val="24"/>
                <w:szCs w:val="24"/>
              </w:rPr>
              <w:t xml:space="preserve"> INVESTIMENTI</w:t>
            </w:r>
            <w:bookmarkEnd w:id="39"/>
          </w:p>
          <w:p w:rsidR="00E24645" w:rsidRPr="00611533" w:rsidRDefault="00E24645" w:rsidP="00273BE4">
            <w:pPr>
              <w:ind w:right="126"/>
              <w:jc w:val="center"/>
            </w:pPr>
          </w:p>
        </w:tc>
      </w:tr>
      <w:tr w:rsidR="00C74173" w:rsidRPr="00A01342" w:rsidTr="00452302">
        <w:tc>
          <w:tcPr>
            <w:tcW w:w="2088" w:type="dxa"/>
            <w:shd w:val="clear" w:color="auto" w:fill="FFFFFF"/>
          </w:tcPr>
          <w:p w:rsidR="00C74173" w:rsidRPr="00AD415A" w:rsidRDefault="00C74173" w:rsidP="00273BE4">
            <w:pPr>
              <w:spacing w:before="120"/>
              <w:ind w:right="126"/>
              <w:jc w:val="center"/>
            </w:pPr>
            <w:r w:rsidRPr="00AD415A">
              <w:t>Riferimenti normativi</w:t>
            </w:r>
          </w:p>
        </w:tc>
        <w:tc>
          <w:tcPr>
            <w:tcW w:w="8280" w:type="dxa"/>
            <w:shd w:val="clear" w:color="auto" w:fill="FFFFFF"/>
          </w:tcPr>
          <w:p w:rsidR="000A3CE9" w:rsidRPr="00EA213D" w:rsidRDefault="000A3CE9" w:rsidP="00273BE4">
            <w:pPr>
              <w:spacing w:before="120"/>
              <w:ind w:right="126"/>
              <w:rPr>
                <w:highlight w:val="yellow"/>
                <w:lang w:val="en-US"/>
              </w:rPr>
            </w:pPr>
            <w:r w:rsidRPr="00EA213D">
              <w:rPr>
                <w:lang w:val="en-US"/>
              </w:rPr>
              <w:t>Reg. (</w:t>
            </w:r>
            <w:r w:rsidR="004A0C82" w:rsidRPr="00EA213D">
              <w:rPr>
                <w:lang w:val="en-US"/>
              </w:rPr>
              <w:t>UE</w:t>
            </w:r>
            <w:r w:rsidRPr="00EA213D">
              <w:rPr>
                <w:lang w:val="en-US"/>
              </w:rPr>
              <w:t xml:space="preserve">) n. </w:t>
            </w:r>
            <w:r w:rsidR="004A0C82" w:rsidRPr="00EA213D">
              <w:rPr>
                <w:lang w:val="en-US"/>
              </w:rPr>
              <w:t>1305</w:t>
            </w:r>
            <w:r w:rsidRPr="00EA213D">
              <w:rPr>
                <w:lang w:val="en-US"/>
              </w:rPr>
              <w:t>/</w:t>
            </w:r>
            <w:r w:rsidR="00B027EC">
              <w:rPr>
                <w:lang w:val="en-US"/>
              </w:rPr>
              <w:t>20</w:t>
            </w:r>
            <w:r w:rsidR="004A0C82" w:rsidRPr="00EA213D">
              <w:rPr>
                <w:lang w:val="en-US"/>
              </w:rPr>
              <w:t>13 Art. 45</w:t>
            </w:r>
          </w:p>
          <w:p w:rsidR="00CD3B14" w:rsidRPr="00EA213D" w:rsidRDefault="0070119E" w:rsidP="00273BE4">
            <w:pPr>
              <w:spacing w:before="120"/>
              <w:ind w:right="126"/>
              <w:rPr>
                <w:lang w:val="en-US"/>
              </w:rPr>
            </w:pPr>
            <w:r w:rsidRPr="00807B87">
              <w:rPr>
                <w:lang w:val="de-DE"/>
              </w:rPr>
              <w:t>Reg. (</w:t>
            </w:r>
            <w:r w:rsidR="004A0C82">
              <w:rPr>
                <w:lang w:val="de-DE"/>
              </w:rPr>
              <w:t>U</w:t>
            </w:r>
            <w:r w:rsidR="004A0C82" w:rsidRPr="00807B87">
              <w:rPr>
                <w:lang w:val="de-DE"/>
              </w:rPr>
              <w:t>E</w:t>
            </w:r>
            <w:r w:rsidRPr="00807B87">
              <w:rPr>
                <w:lang w:val="de-DE"/>
              </w:rPr>
              <w:t xml:space="preserve">) n. </w:t>
            </w:r>
            <w:r w:rsidR="00801538">
              <w:rPr>
                <w:lang w:val="de-DE"/>
              </w:rPr>
              <w:t>1303</w:t>
            </w:r>
            <w:r w:rsidRPr="00807B87">
              <w:rPr>
                <w:lang w:val="de-DE"/>
              </w:rPr>
              <w:t>/</w:t>
            </w:r>
            <w:r w:rsidR="00B027EC">
              <w:rPr>
                <w:lang w:val="de-DE"/>
              </w:rPr>
              <w:t>20</w:t>
            </w:r>
            <w:r w:rsidR="00801538">
              <w:rPr>
                <w:lang w:val="de-DE"/>
              </w:rPr>
              <w:t>13</w:t>
            </w:r>
            <w:r w:rsidR="00844002">
              <w:rPr>
                <w:lang w:val="de-DE"/>
              </w:rPr>
              <w:t xml:space="preserve"> </w:t>
            </w:r>
          </w:p>
          <w:p w:rsidR="00CD3B14" w:rsidRPr="00EA213D" w:rsidRDefault="00CD3B14" w:rsidP="00273BE4">
            <w:pPr>
              <w:spacing w:before="120"/>
              <w:ind w:right="126"/>
              <w:rPr>
                <w:lang w:val="en-US"/>
              </w:rPr>
            </w:pPr>
          </w:p>
        </w:tc>
      </w:tr>
      <w:tr w:rsidR="00C74173" w:rsidRPr="006775B4" w:rsidTr="00452302">
        <w:tc>
          <w:tcPr>
            <w:tcW w:w="2088" w:type="dxa"/>
            <w:shd w:val="clear" w:color="auto" w:fill="FFFFFF"/>
          </w:tcPr>
          <w:p w:rsidR="00C74173" w:rsidRPr="00FD46A7" w:rsidRDefault="00C74173" w:rsidP="00273BE4">
            <w:pPr>
              <w:spacing w:before="120"/>
              <w:ind w:right="126"/>
              <w:jc w:val="center"/>
            </w:pPr>
            <w:r w:rsidRPr="00EA213D">
              <w:rPr>
                <w:lang w:val="en-US"/>
              </w:rPr>
              <w:t xml:space="preserve"> </w:t>
            </w:r>
            <w:r w:rsidRPr="006775B4">
              <w:t xml:space="preserve">Categorie di </w:t>
            </w:r>
            <w:r>
              <w:t>spesa</w:t>
            </w:r>
            <w:r w:rsidR="00FD5B7A">
              <w:t xml:space="preserve"> eleggibili</w:t>
            </w:r>
          </w:p>
        </w:tc>
        <w:tc>
          <w:tcPr>
            <w:tcW w:w="8280" w:type="dxa"/>
            <w:shd w:val="clear" w:color="auto" w:fill="FFFFFF"/>
          </w:tcPr>
          <w:p w:rsidR="00801538" w:rsidRDefault="00B027EC" w:rsidP="00EA213D">
            <w:pPr>
              <w:autoSpaceDE w:val="0"/>
              <w:autoSpaceDN w:val="0"/>
              <w:adjustRightInd w:val="0"/>
              <w:spacing w:before="120"/>
              <w:ind w:right="126"/>
              <w:jc w:val="both"/>
            </w:pPr>
            <w:r>
              <w:t>1</w:t>
            </w:r>
            <w:r w:rsidR="00801538">
              <w:t>. Sono ammissibili a beneficiare del sostegno FEASR unicamente le seguenti voci di spesa:</w:t>
            </w:r>
          </w:p>
          <w:p w:rsidR="00801538" w:rsidRDefault="00801538" w:rsidP="0093020D">
            <w:pPr>
              <w:numPr>
                <w:ilvl w:val="0"/>
                <w:numId w:val="9"/>
              </w:numPr>
              <w:autoSpaceDE w:val="0"/>
              <w:autoSpaceDN w:val="0"/>
              <w:adjustRightInd w:val="0"/>
              <w:spacing w:before="120"/>
              <w:ind w:right="126"/>
              <w:jc w:val="both"/>
            </w:pPr>
            <w:r>
              <w:t>a)costruzione, acquisizione, incluso il leasing, o miglioramento di beni immobili;</w:t>
            </w:r>
          </w:p>
          <w:p w:rsidR="00457F8F" w:rsidRDefault="00801538" w:rsidP="0093020D">
            <w:pPr>
              <w:numPr>
                <w:ilvl w:val="0"/>
                <w:numId w:val="9"/>
              </w:numPr>
              <w:autoSpaceDE w:val="0"/>
              <w:autoSpaceDN w:val="0"/>
              <w:adjustRightInd w:val="0"/>
              <w:spacing w:before="120"/>
              <w:ind w:right="126"/>
              <w:jc w:val="both"/>
            </w:pPr>
            <w:r>
              <w:t>b) acquisto o leasing di nuovi macchinari e attrezzature fino a copertura del valore di mercato del bene;</w:t>
            </w:r>
          </w:p>
          <w:p w:rsidR="00801538" w:rsidRDefault="00457F8F" w:rsidP="0093020D">
            <w:pPr>
              <w:numPr>
                <w:ilvl w:val="0"/>
                <w:numId w:val="9"/>
              </w:numPr>
              <w:autoSpaceDE w:val="0"/>
              <w:autoSpaceDN w:val="0"/>
              <w:adjustRightInd w:val="0"/>
              <w:spacing w:before="120"/>
              <w:ind w:right="126"/>
              <w:jc w:val="both"/>
            </w:pPr>
            <w:r>
              <w:t xml:space="preserve"> </w:t>
            </w:r>
            <w:r w:rsidR="00801538">
              <w:t>c) spese generali collegate alle spese di cui alle lettere a) e b), come onorari di architetti, ingegneri e consulenti, compensi per consulenze in materia di sostenibilità ambientale ed economica, inclusi studi di fattibilità. Gli studi di fattibilità rimangono spese ammissibili anche quando, in base ai loro risultati, non sono effettuate spese a titolo delle lettere a) e b);</w:t>
            </w:r>
          </w:p>
          <w:p w:rsidR="00801538" w:rsidRDefault="00801538" w:rsidP="0093020D">
            <w:pPr>
              <w:numPr>
                <w:ilvl w:val="0"/>
                <w:numId w:val="9"/>
              </w:numPr>
              <w:autoSpaceDE w:val="0"/>
              <w:autoSpaceDN w:val="0"/>
              <w:adjustRightInd w:val="0"/>
              <w:spacing w:before="120"/>
              <w:ind w:right="126"/>
              <w:jc w:val="both"/>
            </w:pPr>
            <w:r>
              <w:t>d) i seguenti investimenti immateriali: acquisizione o sviluppo di programmi informatici e acquisizione di brevetti, licenze, diritti d'autore, marchi commerciali;</w:t>
            </w:r>
          </w:p>
          <w:p w:rsidR="00801538" w:rsidRDefault="00801538" w:rsidP="0093020D">
            <w:pPr>
              <w:numPr>
                <w:ilvl w:val="0"/>
                <w:numId w:val="9"/>
              </w:numPr>
              <w:autoSpaceDE w:val="0"/>
              <w:autoSpaceDN w:val="0"/>
              <w:adjustRightInd w:val="0"/>
              <w:spacing w:before="120"/>
              <w:ind w:right="126"/>
              <w:jc w:val="both"/>
            </w:pPr>
            <w:r>
              <w:t>e) i costi di elaborazione di piani di gestione forestale e loro equivalenti.</w:t>
            </w:r>
          </w:p>
          <w:p w:rsidR="00457F8F" w:rsidRDefault="00B027EC" w:rsidP="00EA213D">
            <w:pPr>
              <w:tabs>
                <w:tab w:val="left" w:pos="39"/>
              </w:tabs>
              <w:autoSpaceDE w:val="0"/>
              <w:autoSpaceDN w:val="0"/>
              <w:adjustRightInd w:val="0"/>
              <w:spacing w:before="120"/>
              <w:ind w:right="126"/>
              <w:jc w:val="both"/>
            </w:pPr>
            <w:r>
              <w:t>2</w:t>
            </w:r>
            <w:r w:rsidR="00801538">
              <w:t>. Nel caso di investimenti agricoli, l'acquisto di diritti di produzione agricola, di diritti all'aiuto, di animali, di piante annuali e la loro messa a dimora non sono ammissibili al sostegno agli investimenti. Tuttavia, in caso di ripristino del potenziale produttivo agricolo danneggiato da calamità naturali o eventi catastrofici ai sensi dell'art</w:t>
            </w:r>
            <w:r>
              <w:t>.</w:t>
            </w:r>
            <w:r w:rsidR="00801538">
              <w:t xml:space="preserve"> 18, paragrafo 1, lettera b), </w:t>
            </w:r>
            <w:r>
              <w:t xml:space="preserve">del Reg. (UE) n. 1305/2013, </w:t>
            </w:r>
            <w:r w:rsidR="00801538">
              <w:t>le spese per l'acquisto di animali possono essere considerate ammissibili.</w:t>
            </w:r>
          </w:p>
          <w:p w:rsidR="00457F8F" w:rsidRDefault="00B027EC" w:rsidP="00EA213D">
            <w:pPr>
              <w:tabs>
                <w:tab w:val="left" w:pos="39"/>
              </w:tabs>
              <w:autoSpaceDE w:val="0"/>
              <w:autoSpaceDN w:val="0"/>
              <w:adjustRightInd w:val="0"/>
              <w:spacing w:before="120"/>
              <w:ind w:right="126"/>
              <w:jc w:val="both"/>
            </w:pPr>
            <w:r>
              <w:t>3</w:t>
            </w:r>
            <w:r w:rsidR="00801538">
              <w:t xml:space="preserve">. I beneficiari del sostegno agli investimenti possono chiedere al competente organismo pagatore il versamento di un anticipo non superiore al 50 % dell'aiuto pubblico </w:t>
            </w:r>
            <w:r w:rsidR="00167050">
              <w:t xml:space="preserve">concesso come contributo in conto capitale </w:t>
            </w:r>
            <w:r w:rsidR="00801538">
              <w:t>per l'investimento se tale possibilità è prevista nel programma di sviluppo rurale.</w:t>
            </w:r>
          </w:p>
          <w:p w:rsidR="007150DE" w:rsidRDefault="00B027EC" w:rsidP="00EA213D">
            <w:pPr>
              <w:tabs>
                <w:tab w:val="left" w:pos="39"/>
              </w:tabs>
              <w:autoSpaceDE w:val="0"/>
              <w:autoSpaceDN w:val="0"/>
              <w:adjustRightInd w:val="0"/>
              <w:spacing w:before="120"/>
              <w:ind w:right="126"/>
              <w:jc w:val="both"/>
            </w:pPr>
            <w:r>
              <w:t>4</w:t>
            </w:r>
            <w:r w:rsidR="00801538">
              <w:t>. Il capitale di esercizio accessorio e collegato a un nuovo investimento nel settore agricolo o forestale, che riceve il sostegno del FEASR tramite uno strumento finanziario istituito conformemente all'art</w:t>
            </w:r>
            <w:r>
              <w:t>.</w:t>
            </w:r>
            <w:r w:rsidR="00801538">
              <w:t xml:space="preserve"> 37 del </w:t>
            </w:r>
            <w:r>
              <w:t>Reg.</w:t>
            </w:r>
            <w:r w:rsidR="00801538">
              <w:t xml:space="preserve"> (UE) n. 1303/2013, può essere considerato una spesa ammissibile. Tale spesa ammissibile non può essere superiore al 30 % dell'importo totale delle spese ammissibili per l'investimento. La relativa domanda deve essere debitamente motivata.</w:t>
            </w:r>
          </w:p>
          <w:p w:rsidR="00801538" w:rsidRDefault="00B027EC" w:rsidP="00EA213D">
            <w:pPr>
              <w:tabs>
                <w:tab w:val="left" w:pos="39"/>
              </w:tabs>
              <w:autoSpaceDE w:val="0"/>
              <w:autoSpaceDN w:val="0"/>
              <w:adjustRightInd w:val="0"/>
              <w:spacing w:before="120"/>
              <w:ind w:right="126"/>
              <w:jc w:val="both"/>
            </w:pPr>
            <w:r>
              <w:t>5</w:t>
            </w:r>
            <w:r w:rsidR="00801538">
              <w:t xml:space="preserve">. Per tener conto delle caratteristiche specifiche di taluni tipi di investimenti, alla Commissione è conferito il potere di adottare atti delegati conformemente </w:t>
            </w:r>
            <w:r w:rsidR="00801538">
              <w:lastRenderedPageBreak/>
              <w:t>all'articolo 90 che stabiliscono le condizioni alle quali possono essere considerate spese ammissibili altre spese connesse ai contratti di leasing, al materiale d'occasione e che specificano i tipi di infrastrutture per le energie rinnovabili che possono beneficiare di un sostegno.</w:t>
            </w:r>
          </w:p>
          <w:p w:rsidR="007150DE" w:rsidRDefault="007150DE" w:rsidP="00EA213D">
            <w:pPr>
              <w:autoSpaceDE w:val="0"/>
              <w:autoSpaceDN w:val="0"/>
              <w:adjustRightInd w:val="0"/>
              <w:spacing w:before="120"/>
              <w:ind w:left="432" w:right="126"/>
              <w:jc w:val="both"/>
            </w:pPr>
            <w:r>
              <w:t xml:space="preserve">In linea generale e non esaustiva, si riportano </w:t>
            </w:r>
            <w:r w:rsidR="004F4DE3">
              <w:t xml:space="preserve">di </w:t>
            </w:r>
            <w:r>
              <w:t>seguito le categorie d’investimento:</w:t>
            </w:r>
          </w:p>
          <w:p w:rsidR="008A53E7" w:rsidRPr="00BD7AD2" w:rsidRDefault="008A53E7" w:rsidP="00BE7ABC">
            <w:pPr>
              <w:numPr>
                <w:ilvl w:val="0"/>
                <w:numId w:val="48"/>
              </w:numPr>
              <w:autoSpaceDE w:val="0"/>
              <w:autoSpaceDN w:val="0"/>
              <w:adjustRightInd w:val="0"/>
              <w:spacing w:before="120"/>
              <w:ind w:left="464" w:right="126" w:hanging="425"/>
              <w:jc w:val="both"/>
            </w:pPr>
            <w:r>
              <w:t>macchine ed attrezzature, compresa la relativa impiantistica</w:t>
            </w:r>
          </w:p>
          <w:p w:rsidR="00202DA4" w:rsidRPr="00BD7AD2" w:rsidRDefault="00291F66" w:rsidP="0093020D">
            <w:pPr>
              <w:numPr>
                <w:ilvl w:val="0"/>
                <w:numId w:val="9"/>
              </w:numPr>
              <w:tabs>
                <w:tab w:val="clear" w:pos="360"/>
                <w:tab w:val="num" w:pos="432"/>
              </w:tabs>
              <w:autoSpaceDE w:val="0"/>
              <w:autoSpaceDN w:val="0"/>
              <w:adjustRightInd w:val="0"/>
              <w:spacing w:before="120"/>
              <w:ind w:left="432" w:right="126" w:hanging="432"/>
              <w:jc w:val="both"/>
            </w:pPr>
            <w:r w:rsidRPr="00BD7AD2">
              <w:t>interventi di miglioramento fondiario</w:t>
            </w:r>
            <w:r w:rsidR="00243355" w:rsidRPr="00BD7AD2">
              <w:t>,</w:t>
            </w:r>
            <w:r w:rsidRPr="00BD7AD2">
              <w:t xml:space="preserve"> inclus</w:t>
            </w:r>
            <w:r w:rsidR="00031BB8" w:rsidRPr="00BD7AD2">
              <w:t>e</w:t>
            </w:r>
            <w:r w:rsidRPr="00BD7AD2">
              <w:t xml:space="preserve"> sistemazioni idraulico-agrarie, impianti irrigui, drenaggi, impiant</w:t>
            </w:r>
            <w:r w:rsidR="00031BB8" w:rsidRPr="00BD7AD2">
              <w:t>i</w:t>
            </w:r>
            <w:r w:rsidRPr="00BD7AD2">
              <w:t xml:space="preserve"> colture pluriennali, viabilità aziendale, </w:t>
            </w:r>
            <w:r w:rsidR="00F35244">
              <w:t xml:space="preserve">elettrificazione aziendale, recinzioni e opere di canalizzazione dell’acqua, </w:t>
            </w:r>
            <w:r w:rsidRPr="00BD7AD2">
              <w:t>spianamenti, terrazzamenti e simili;</w:t>
            </w:r>
          </w:p>
          <w:p w:rsidR="00044A88" w:rsidRPr="00BD7AD2" w:rsidRDefault="00044A88" w:rsidP="0093020D">
            <w:pPr>
              <w:numPr>
                <w:ilvl w:val="0"/>
                <w:numId w:val="9"/>
              </w:numPr>
              <w:tabs>
                <w:tab w:val="clear" w:pos="360"/>
                <w:tab w:val="num" w:pos="432"/>
              </w:tabs>
              <w:autoSpaceDE w:val="0"/>
              <w:autoSpaceDN w:val="0"/>
              <w:adjustRightInd w:val="0"/>
              <w:spacing w:before="120"/>
              <w:ind w:left="432" w:right="126" w:hanging="432"/>
              <w:jc w:val="both"/>
            </w:pPr>
            <w:r w:rsidRPr="00BD7AD2">
              <w:t>Interventi di miglioramento boschivo;</w:t>
            </w:r>
          </w:p>
          <w:p w:rsidR="00291F66" w:rsidRPr="00BD7AD2" w:rsidRDefault="00291F66" w:rsidP="0093020D">
            <w:pPr>
              <w:numPr>
                <w:ilvl w:val="0"/>
                <w:numId w:val="9"/>
              </w:numPr>
              <w:tabs>
                <w:tab w:val="clear" w:pos="360"/>
              </w:tabs>
              <w:autoSpaceDE w:val="0"/>
              <w:autoSpaceDN w:val="0"/>
              <w:adjustRightInd w:val="0"/>
              <w:spacing w:before="120"/>
              <w:ind w:left="432" w:right="126" w:hanging="432"/>
              <w:jc w:val="both"/>
            </w:pPr>
            <w:r w:rsidRPr="00BD7AD2">
              <w:t xml:space="preserve">interventi di miglioramento e </w:t>
            </w:r>
            <w:r w:rsidR="00031BB8" w:rsidRPr="00BD7AD2">
              <w:t xml:space="preserve">di </w:t>
            </w:r>
            <w:r w:rsidRPr="00BD7AD2">
              <w:t>realizzazione d</w:t>
            </w:r>
            <w:r w:rsidR="00031BB8" w:rsidRPr="00BD7AD2">
              <w:t xml:space="preserve">i </w:t>
            </w:r>
            <w:r w:rsidRPr="00BD7AD2">
              <w:t xml:space="preserve">infrastrutture rurali; </w:t>
            </w:r>
          </w:p>
          <w:p w:rsidR="00291F66" w:rsidRPr="00BD7AD2" w:rsidRDefault="00291F66" w:rsidP="0093020D">
            <w:pPr>
              <w:numPr>
                <w:ilvl w:val="0"/>
                <w:numId w:val="9"/>
              </w:numPr>
              <w:tabs>
                <w:tab w:val="clear" w:pos="360"/>
                <w:tab w:val="num" w:pos="432"/>
              </w:tabs>
              <w:autoSpaceDE w:val="0"/>
              <w:autoSpaceDN w:val="0"/>
              <w:adjustRightInd w:val="0"/>
              <w:spacing w:before="120"/>
              <w:ind w:left="432" w:right="126" w:hanging="432"/>
              <w:jc w:val="both"/>
            </w:pPr>
            <w:r w:rsidRPr="00BD7AD2">
              <w:t>interventi di recupero, riconversione e valorizzazione del patrimonio immobiliare pubblico e di interesse pubblico delle aree rurali;</w:t>
            </w:r>
          </w:p>
          <w:p w:rsidR="00F63B2D" w:rsidRPr="00BD7AD2" w:rsidRDefault="00291F66" w:rsidP="0093020D">
            <w:pPr>
              <w:numPr>
                <w:ilvl w:val="0"/>
                <w:numId w:val="9"/>
              </w:numPr>
              <w:tabs>
                <w:tab w:val="clear" w:pos="360"/>
                <w:tab w:val="num" w:pos="432"/>
              </w:tabs>
              <w:autoSpaceDE w:val="0"/>
              <w:autoSpaceDN w:val="0"/>
              <w:adjustRightInd w:val="0"/>
              <w:spacing w:before="120"/>
              <w:ind w:left="432" w:right="126" w:hanging="432"/>
              <w:jc w:val="both"/>
            </w:pPr>
            <w:r w:rsidRPr="00BD7AD2">
              <w:t xml:space="preserve">acquisto, costruzione, ristrutturazione, ampliamento e ammodernamento </w:t>
            </w:r>
            <w:r w:rsidR="008A53E7">
              <w:t>di beni immobili</w:t>
            </w:r>
            <w:r w:rsidRPr="00BD7AD2">
              <w:t>, diversi dall</w:t>
            </w:r>
            <w:r w:rsidR="00031BB8" w:rsidRPr="00BD7AD2">
              <w:t>’abitazione dell’imprenditore e relative</w:t>
            </w:r>
            <w:r w:rsidRPr="00BD7AD2">
              <w:t xml:space="preserve"> opere edili e</w:t>
            </w:r>
            <w:r w:rsidR="00031BB8" w:rsidRPr="00BD7AD2">
              <w:t>d impiantistiche</w:t>
            </w:r>
            <w:r w:rsidRPr="00BD7AD2">
              <w:t>;</w:t>
            </w:r>
            <w:r w:rsidR="00F63B2D" w:rsidRPr="00BD7AD2">
              <w:t>investimenti relativi all’adeguamento delle aziende a requisiti resi obbligatori da specifiche norme comunitarie di nuova introduzione</w:t>
            </w:r>
            <w:r w:rsidR="00A65E22" w:rsidRPr="00BD7AD2">
              <w:t>, specificando, per ciascuna norma, la data di entrata in vigore</w:t>
            </w:r>
            <w:r w:rsidR="00F63B2D" w:rsidRPr="00BD7AD2">
              <w:t>;</w:t>
            </w:r>
          </w:p>
          <w:p w:rsidR="00C74173" w:rsidRPr="00BD7AD2" w:rsidRDefault="00C74173" w:rsidP="0093020D">
            <w:pPr>
              <w:numPr>
                <w:ilvl w:val="0"/>
                <w:numId w:val="9"/>
              </w:numPr>
              <w:tabs>
                <w:tab w:val="clear" w:pos="360"/>
                <w:tab w:val="num" w:pos="432"/>
              </w:tabs>
              <w:autoSpaceDE w:val="0"/>
              <w:autoSpaceDN w:val="0"/>
              <w:adjustRightInd w:val="0"/>
              <w:spacing w:before="120"/>
              <w:ind w:left="432" w:right="126" w:hanging="432"/>
              <w:jc w:val="both"/>
            </w:pPr>
            <w:r w:rsidRPr="00BD7AD2">
              <w:t xml:space="preserve">acquisto di terreni nella misura massima del 10% del costo complessivo dell’operazione considerata ( Art. </w:t>
            </w:r>
            <w:r w:rsidR="00D83FEA">
              <w:t>69</w:t>
            </w:r>
            <w:r w:rsidRPr="00BD7AD2">
              <w:t xml:space="preserve">) (c) del Reg. </w:t>
            </w:r>
            <w:r w:rsidR="00B11339">
              <w:t>(</w:t>
            </w:r>
            <w:r w:rsidRPr="00BD7AD2">
              <w:t>CE</w:t>
            </w:r>
            <w:r w:rsidR="00B11339">
              <w:t>)</w:t>
            </w:r>
            <w:r w:rsidRPr="00BD7AD2">
              <w:t xml:space="preserve"> n.</w:t>
            </w:r>
            <w:r w:rsidR="0024392A" w:rsidRPr="00BD7AD2">
              <w:t xml:space="preserve"> </w:t>
            </w:r>
            <w:r w:rsidR="00B50A45">
              <w:t>1303</w:t>
            </w:r>
            <w:r w:rsidRPr="00BD7AD2">
              <w:t>/</w:t>
            </w:r>
            <w:r w:rsidR="00B50A45">
              <w:t>13</w:t>
            </w:r>
            <w:r w:rsidRPr="00BD7AD2">
              <w:t>.)</w:t>
            </w:r>
            <w:r w:rsidR="004B7DE5">
              <w:t xml:space="preserve">, comprensiva della indennità di esproprio. </w:t>
            </w:r>
            <w:r w:rsidRPr="00BD7AD2">
              <w:t xml:space="preserve"> Tale spesa copre sia i costi amministrativi che quelli per l’acquisto dei terreni e delle relative strutture di capitale fondiario ad uso agricolo e forestale, purch</w:t>
            </w:r>
            <w:r w:rsidR="0024392A" w:rsidRPr="00BD7AD2">
              <w:t>é</w:t>
            </w:r>
            <w:r w:rsidRPr="00BD7AD2">
              <w:t xml:space="preserve"> destinate al miglioramento del rendimento globale dell’azienda agricola</w:t>
            </w:r>
            <w:r w:rsidR="00BF3135" w:rsidRPr="00BD7AD2">
              <w:t>;</w:t>
            </w:r>
            <w:r w:rsidRPr="00BD7AD2">
              <w:t xml:space="preserve"> </w:t>
            </w:r>
          </w:p>
          <w:p w:rsidR="00C74173" w:rsidRPr="00BD7AD2" w:rsidRDefault="00C74173" w:rsidP="0093020D">
            <w:pPr>
              <w:numPr>
                <w:ilvl w:val="0"/>
                <w:numId w:val="9"/>
              </w:numPr>
              <w:tabs>
                <w:tab w:val="clear" w:pos="360"/>
                <w:tab w:val="num" w:pos="432"/>
              </w:tabs>
              <w:autoSpaceDE w:val="0"/>
              <w:autoSpaceDN w:val="0"/>
              <w:adjustRightInd w:val="0"/>
              <w:spacing w:before="120"/>
              <w:ind w:left="432" w:right="126" w:hanging="432"/>
              <w:jc w:val="both"/>
            </w:pPr>
            <w:r w:rsidRPr="00BD7AD2">
              <w:t>acquisizione di hardware e software</w:t>
            </w:r>
            <w:r w:rsidR="005C4D3D" w:rsidRPr="00BD7AD2">
              <w:t>;</w:t>
            </w:r>
            <w:r w:rsidRPr="00BD7AD2">
              <w:t xml:space="preserve"> </w:t>
            </w:r>
          </w:p>
          <w:p w:rsidR="00C74173" w:rsidRDefault="00C74173" w:rsidP="0093020D">
            <w:pPr>
              <w:numPr>
                <w:ilvl w:val="0"/>
                <w:numId w:val="9"/>
              </w:numPr>
              <w:tabs>
                <w:tab w:val="clear" w:pos="360"/>
                <w:tab w:val="num" w:pos="432"/>
              </w:tabs>
              <w:autoSpaceDE w:val="0"/>
              <w:autoSpaceDN w:val="0"/>
              <w:adjustRightInd w:val="0"/>
              <w:spacing w:before="120"/>
              <w:ind w:left="432" w:right="126" w:hanging="432"/>
              <w:jc w:val="both"/>
            </w:pPr>
            <w:r w:rsidRPr="00BD7AD2">
              <w:t>creazione e/o implementazione di siti internet</w:t>
            </w:r>
            <w:r w:rsidRPr="00266683">
              <w:t>;</w:t>
            </w:r>
          </w:p>
          <w:p w:rsidR="000E5348" w:rsidRPr="00B027EC" w:rsidRDefault="000E5348" w:rsidP="0093020D">
            <w:pPr>
              <w:numPr>
                <w:ilvl w:val="1"/>
                <w:numId w:val="9"/>
              </w:numPr>
              <w:autoSpaceDE w:val="0"/>
              <w:autoSpaceDN w:val="0"/>
              <w:adjustRightInd w:val="0"/>
              <w:spacing w:before="120"/>
              <w:ind w:left="432" w:right="126" w:hanging="432"/>
              <w:jc w:val="both"/>
            </w:pPr>
            <w:r w:rsidRPr="00B027EC">
              <w:t xml:space="preserve">opere civili e impiantistiche strettamente connesse </w:t>
            </w:r>
            <w:r w:rsidR="00290737">
              <w:t xml:space="preserve">al </w:t>
            </w:r>
            <w:r w:rsidRPr="00B027EC">
              <w:t xml:space="preserve">progetto “Banda </w:t>
            </w:r>
            <w:r w:rsidR="00290737">
              <w:t xml:space="preserve">Ultra </w:t>
            </w:r>
            <w:r w:rsidRPr="00B027EC">
              <w:t>Larga”</w:t>
            </w:r>
            <w:r w:rsidR="00AF0325" w:rsidRPr="00B027EC">
              <w:t xml:space="preserve">, </w:t>
            </w:r>
            <w:r w:rsidRPr="00B027EC">
              <w:t>e relative attività di realizzazione, installazione, assistenza e sviluppo per la corretta messa in servizio;</w:t>
            </w:r>
          </w:p>
          <w:p w:rsidR="000E5348" w:rsidRDefault="000E5348" w:rsidP="0093020D">
            <w:pPr>
              <w:numPr>
                <w:ilvl w:val="1"/>
                <w:numId w:val="9"/>
              </w:numPr>
              <w:autoSpaceDE w:val="0"/>
              <w:autoSpaceDN w:val="0"/>
              <w:adjustRightInd w:val="0"/>
              <w:spacing w:before="120"/>
              <w:ind w:left="432" w:right="126" w:hanging="432"/>
              <w:jc w:val="both"/>
            </w:pPr>
            <w:r w:rsidRPr="00B027EC">
              <w:t xml:space="preserve">acquisto terminali di utente relativi </w:t>
            </w:r>
            <w:r w:rsidR="00290737">
              <w:t>al</w:t>
            </w:r>
            <w:r w:rsidRPr="00B027EC">
              <w:t xml:space="preserve"> progetto “Banda </w:t>
            </w:r>
            <w:r w:rsidR="00290737">
              <w:t xml:space="preserve">Ultra </w:t>
            </w:r>
            <w:r w:rsidRPr="00B027EC">
              <w:t>Larga”;</w:t>
            </w:r>
          </w:p>
          <w:p w:rsidR="004B7DE5" w:rsidRPr="00B027EC" w:rsidRDefault="004B7DE5" w:rsidP="0093020D">
            <w:pPr>
              <w:numPr>
                <w:ilvl w:val="1"/>
                <w:numId w:val="9"/>
              </w:numPr>
              <w:autoSpaceDE w:val="0"/>
              <w:autoSpaceDN w:val="0"/>
              <w:adjustRightInd w:val="0"/>
              <w:spacing w:before="120"/>
              <w:ind w:left="432" w:right="126" w:hanging="432"/>
              <w:jc w:val="both"/>
            </w:pPr>
            <w:r>
              <w:t>interventi per la produzione di energie rinnovabili</w:t>
            </w:r>
          </w:p>
          <w:p w:rsidR="00C858F1" w:rsidRDefault="00C858F1" w:rsidP="0093020D">
            <w:pPr>
              <w:numPr>
                <w:ilvl w:val="1"/>
                <w:numId w:val="9"/>
              </w:numPr>
              <w:autoSpaceDE w:val="0"/>
              <w:autoSpaceDN w:val="0"/>
              <w:adjustRightInd w:val="0"/>
              <w:spacing w:before="120"/>
              <w:ind w:left="432" w:right="126" w:hanging="432"/>
              <w:jc w:val="both"/>
            </w:pPr>
            <w:r w:rsidRPr="00C434EF">
              <w:t>canoni contratti IRU</w:t>
            </w:r>
            <w:r w:rsidR="009E46E3" w:rsidRPr="00B027EC">
              <w:t xml:space="preserve"> </w:t>
            </w:r>
            <w:r w:rsidR="00D14307" w:rsidRPr="00B027EC">
              <w:t xml:space="preserve">(diritti irrevocabili d’uso) </w:t>
            </w:r>
            <w:r w:rsidRPr="00B027EC">
              <w:t>per l’acquisizione dei diritto d’uso di infrastrutture di posa esistenti</w:t>
            </w:r>
            <w:r w:rsidR="00767025" w:rsidRPr="00B027EC">
              <w:t>;</w:t>
            </w:r>
          </w:p>
          <w:p w:rsidR="00695887" w:rsidRPr="00C434EF" w:rsidRDefault="00695887" w:rsidP="0093020D">
            <w:pPr>
              <w:numPr>
                <w:ilvl w:val="1"/>
                <w:numId w:val="9"/>
              </w:numPr>
              <w:autoSpaceDE w:val="0"/>
              <w:autoSpaceDN w:val="0"/>
              <w:adjustRightInd w:val="0"/>
              <w:spacing w:before="120"/>
              <w:ind w:left="432" w:right="126" w:hanging="432"/>
              <w:jc w:val="both"/>
            </w:pPr>
            <w:r w:rsidRPr="00C434EF">
              <w:t>Costi del personale, ovvero i costi derivanti da un contratto tra un datore di lavoro e un lavoratore o costi per servizi pre</w:t>
            </w:r>
            <w:r w:rsidR="00C434EF" w:rsidRPr="00C434EF">
              <w:t>stati da personale esterno.</w:t>
            </w:r>
            <w:r w:rsidRPr="00C434EF">
              <w:t xml:space="preserve"> Le spese relative agli apporti lavorativi forniti dai dipendenti del beneficiario del contributo sono una spesa ammissibile.</w:t>
            </w:r>
          </w:p>
          <w:p w:rsidR="00031BB8" w:rsidRPr="00BD7AD2" w:rsidRDefault="00202DA4" w:rsidP="0093020D">
            <w:pPr>
              <w:numPr>
                <w:ilvl w:val="1"/>
                <w:numId w:val="9"/>
              </w:numPr>
              <w:autoSpaceDE w:val="0"/>
              <w:autoSpaceDN w:val="0"/>
              <w:adjustRightInd w:val="0"/>
              <w:spacing w:before="120"/>
              <w:ind w:left="252" w:right="126" w:hanging="252"/>
              <w:jc w:val="both"/>
            </w:pPr>
            <w:r w:rsidRPr="00BD7AD2">
              <w:t>Spese generali:</w:t>
            </w:r>
            <w:r w:rsidR="00031BB8" w:rsidRPr="00BD7AD2">
              <w:t xml:space="preserve"> la</w:t>
            </w:r>
            <w:r w:rsidR="000E5348">
              <w:t xml:space="preserve"> </w:t>
            </w:r>
            <w:r w:rsidR="00031BB8" w:rsidRPr="00BD7AD2">
              <w:t>percentuale massima è stabilita dall’Autorità di gestione.</w:t>
            </w:r>
          </w:p>
          <w:p w:rsidR="00202DA4" w:rsidRDefault="00031BB8" w:rsidP="00273BE4">
            <w:pPr>
              <w:tabs>
                <w:tab w:val="num" w:pos="432"/>
              </w:tabs>
              <w:autoSpaceDE w:val="0"/>
              <w:autoSpaceDN w:val="0"/>
              <w:adjustRightInd w:val="0"/>
              <w:spacing w:before="120"/>
              <w:ind w:left="432" w:right="126" w:hanging="432"/>
              <w:jc w:val="both"/>
            </w:pPr>
            <w:r w:rsidRPr="00BD7AD2">
              <w:t>In tale contesto sono ammesse</w:t>
            </w:r>
            <w:r w:rsidR="00844002" w:rsidRPr="00844002">
              <w:t>, tra l’altro</w:t>
            </w:r>
            <w:r w:rsidRPr="00BD7AD2">
              <w:t>:</w:t>
            </w:r>
          </w:p>
          <w:p w:rsidR="00F94024" w:rsidRPr="00BD7AD2" w:rsidRDefault="00C74173" w:rsidP="0093020D">
            <w:pPr>
              <w:numPr>
                <w:ilvl w:val="0"/>
                <w:numId w:val="14"/>
              </w:numPr>
              <w:tabs>
                <w:tab w:val="num" w:pos="432"/>
              </w:tabs>
              <w:autoSpaceDE w:val="0"/>
              <w:autoSpaceDN w:val="0"/>
              <w:adjustRightInd w:val="0"/>
              <w:spacing w:before="120"/>
              <w:ind w:left="432" w:right="126" w:hanging="432"/>
              <w:jc w:val="both"/>
            </w:pPr>
            <w:r w:rsidRPr="00BD7AD2">
              <w:t>acquisto di brevetti e licenze;</w:t>
            </w:r>
          </w:p>
          <w:p w:rsidR="00747282" w:rsidRPr="00BD7AD2" w:rsidRDefault="00BF3135" w:rsidP="0093020D">
            <w:pPr>
              <w:numPr>
                <w:ilvl w:val="0"/>
                <w:numId w:val="14"/>
              </w:numPr>
              <w:tabs>
                <w:tab w:val="num" w:pos="432"/>
              </w:tabs>
              <w:autoSpaceDE w:val="0"/>
              <w:autoSpaceDN w:val="0"/>
              <w:adjustRightInd w:val="0"/>
              <w:spacing w:before="120"/>
              <w:ind w:left="432" w:right="126" w:hanging="432"/>
              <w:jc w:val="both"/>
            </w:pPr>
            <w:r w:rsidRPr="00BD7AD2">
              <w:lastRenderedPageBreak/>
              <w:t>o</w:t>
            </w:r>
            <w:r w:rsidR="00C74173" w:rsidRPr="00BD7AD2">
              <w:t>norari di professionisti e consulenti, studi di fattibilità connessi al progetto</w:t>
            </w:r>
            <w:r w:rsidR="00767025">
              <w:t>.</w:t>
            </w:r>
          </w:p>
        </w:tc>
      </w:tr>
      <w:tr w:rsidR="00C74173" w:rsidRPr="006775B4" w:rsidTr="00452302">
        <w:tc>
          <w:tcPr>
            <w:tcW w:w="2088" w:type="dxa"/>
            <w:shd w:val="clear" w:color="auto" w:fill="FFFFFF"/>
          </w:tcPr>
          <w:p w:rsidR="00C74173" w:rsidRPr="00FD46A7" w:rsidRDefault="00C74173" w:rsidP="00273BE4">
            <w:pPr>
              <w:spacing w:before="120"/>
              <w:ind w:right="126"/>
              <w:jc w:val="center"/>
            </w:pPr>
            <w:r w:rsidRPr="00FD46A7">
              <w:lastRenderedPageBreak/>
              <w:t>Vincoli e limitazioni</w:t>
            </w:r>
          </w:p>
        </w:tc>
        <w:tc>
          <w:tcPr>
            <w:tcW w:w="8280" w:type="dxa"/>
            <w:shd w:val="clear" w:color="auto" w:fill="FFFFFF"/>
          </w:tcPr>
          <w:p w:rsidR="00801538" w:rsidRDefault="00801538" w:rsidP="00EA213D">
            <w:pPr>
              <w:autoSpaceDE w:val="0"/>
              <w:autoSpaceDN w:val="0"/>
              <w:adjustRightInd w:val="0"/>
              <w:spacing w:before="120"/>
              <w:ind w:right="126"/>
              <w:jc w:val="both"/>
            </w:pPr>
            <w:r w:rsidRPr="00801538">
              <w:t xml:space="preserve"> Qualora un investimento rischi di avere effetti negativi sull'ambiente, la decisione circa la sua ammissibilità a beneficiare del sostegno del FEASR è preceduta da una valutazione dell'impatto ambientale. Tale valutazione di impatto è effettuata conformemente alla normativa applicabile per il tipo di investimento di cui trattasi.</w:t>
            </w:r>
            <w:r>
              <w:t>(art</w:t>
            </w:r>
            <w:r w:rsidR="00B027EC">
              <w:t>.</w:t>
            </w:r>
            <w:r>
              <w:t xml:space="preserve"> 45.1</w:t>
            </w:r>
            <w:r w:rsidR="00B027EC">
              <w:t xml:space="preserve"> del Reg. (UE) n. 1305/2013).</w:t>
            </w:r>
          </w:p>
          <w:p w:rsidR="00C74173" w:rsidRPr="00BD7AD2" w:rsidRDefault="00C74173" w:rsidP="00EA213D">
            <w:pPr>
              <w:autoSpaceDE w:val="0"/>
              <w:autoSpaceDN w:val="0"/>
              <w:adjustRightInd w:val="0"/>
              <w:spacing w:before="120"/>
              <w:ind w:right="126"/>
              <w:jc w:val="both"/>
            </w:pPr>
            <w:r w:rsidRPr="00BD7AD2">
              <w:t>Non rientrano tra le spese eleggibili:</w:t>
            </w:r>
          </w:p>
          <w:p w:rsidR="00C74173" w:rsidRPr="00BD7AD2" w:rsidRDefault="00C74173" w:rsidP="0093020D">
            <w:pPr>
              <w:numPr>
                <w:ilvl w:val="0"/>
                <w:numId w:val="10"/>
              </w:numPr>
              <w:tabs>
                <w:tab w:val="clear" w:pos="720"/>
              </w:tabs>
              <w:autoSpaceDE w:val="0"/>
              <w:autoSpaceDN w:val="0"/>
              <w:adjustRightInd w:val="0"/>
              <w:spacing w:before="120"/>
              <w:ind w:left="432" w:right="126" w:hanging="432"/>
              <w:jc w:val="both"/>
            </w:pPr>
            <w:r w:rsidRPr="00BD7AD2">
              <w:t>investimenti effettuati allo scopo di ottemperare a requisiti resi obbligatori da specifiche norme comunitarie, salvo che gli investimenti siano finalizzati al rispetto di requisiti comunitari di nuova introduzione</w:t>
            </w:r>
            <w:r w:rsidR="00D7526E" w:rsidRPr="00BD7AD2">
              <w:t>, purché indicati nel programma approvato</w:t>
            </w:r>
            <w:r w:rsidRPr="00BD7AD2">
              <w:t xml:space="preserve">; </w:t>
            </w:r>
          </w:p>
          <w:p w:rsidR="00C74173" w:rsidRPr="00BD7AD2" w:rsidRDefault="00C74173" w:rsidP="0093020D">
            <w:pPr>
              <w:numPr>
                <w:ilvl w:val="0"/>
                <w:numId w:val="10"/>
              </w:numPr>
              <w:tabs>
                <w:tab w:val="clear" w:pos="720"/>
              </w:tabs>
              <w:autoSpaceDE w:val="0"/>
              <w:autoSpaceDN w:val="0"/>
              <w:adjustRightInd w:val="0"/>
              <w:spacing w:before="120"/>
              <w:ind w:left="432" w:right="126" w:hanging="432"/>
              <w:jc w:val="both"/>
            </w:pPr>
            <w:r w:rsidRPr="00BD7AD2">
              <w:t xml:space="preserve">acquisto di </w:t>
            </w:r>
            <w:r w:rsidR="00031BB8" w:rsidRPr="00BD7AD2">
              <w:t xml:space="preserve">terreni </w:t>
            </w:r>
            <w:r w:rsidRPr="00BD7AD2">
              <w:t xml:space="preserve">superiori al 10% del costo complessivo dell’operazione considerata; </w:t>
            </w:r>
            <w:r w:rsidR="0013362A" w:rsidRPr="00BD7AD2">
              <w:t xml:space="preserve">in casi eccezionale, debitamente giustificati, può essere fissata una percentuale più elevata per operazioni di conservazione dell’ambiente (Art. </w:t>
            </w:r>
            <w:r w:rsidR="000138CA">
              <w:t>69</w:t>
            </w:r>
            <w:r w:rsidR="0013362A" w:rsidRPr="00BD7AD2">
              <w:t>, 3) (c ) del Reg. (</w:t>
            </w:r>
            <w:r w:rsidR="00B027EC">
              <w:t>U</w:t>
            </w:r>
            <w:r w:rsidR="0013362A" w:rsidRPr="00BD7AD2">
              <w:t xml:space="preserve">E) n. </w:t>
            </w:r>
            <w:r w:rsidR="000138CA">
              <w:t>1303/</w:t>
            </w:r>
            <w:r w:rsidR="00B027EC">
              <w:t>2013</w:t>
            </w:r>
            <w:r w:rsidR="00767025">
              <w:t>;</w:t>
            </w:r>
          </w:p>
          <w:p w:rsidR="00C74173" w:rsidRPr="00BD7AD2" w:rsidRDefault="00C74173" w:rsidP="0093020D">
            <w:pPr>
              <w:numPr>
                <w:ilvl w:val="0"/>
                <w:numId w:val="10"/>
              </w:numPr>
              <w:tabs>
                <w:tab w:val="clear" w:pos="720"/>
              </w:tabs>
              <w:autoSpaceDE w:val="0"/>
              <w:autoSpaceDN w:val="0"/>
              <w:adjustRightInd w:val="0"/>
              <w:spacing w:before="120"/>
              <w:ind w:left="432" w:right="126" w:hanging="432"/>
              <w:jc w:val="both"/>
            </w:pPr>
            <w:r w:rsidRPr="00BD7AD2">
              <w:t>acquisto di diritti di produzione agricola</w:t>
            </w:r>
            <w:r w:rsidR="00D871BB" w:rsidRPr="00BD7AD2">
              <w:t>, di animali, di piante annuali e loro messa a dimora; tuttavia, nel caso di ripristino del potenziale produttivo agricolo danneggiato da calamità naturali, le spese per l’acquisto di animali possono costituire spesa ammissibile;</w:t>
            </w:r>
          </w:p>
          <w:p w:rsidR="004F4217" w:rsidRPr="00BD7AD2" w:rsidRDefault="00CF4FE2" w:rsidP="0093020D">
            <w:pPr>
              <w:numPr>
                <w:ilvl w:val="0"/>
                <w:numId w:val="10"/>
              </w:numPr>
              <w:tabs>
                <w:tab w:val="clear" w:pos="720"/>
              </w:tabs>
              <w:autoSpaceDE w:val="0"/>
              <w:autoSpaceDN w:val="0"/>
              <w:adjustRightInd w:val="0"/>
              <w:spacing w:before="120"/>
              <w:ind w:left="432" w:right="126" w:hanging="432"/>
              <w:jc w:val="both"/>
            </w:pPr>
            <w:r w:rsidRPr="00BD7AD2">
              <w:t>investimenti</w:t>
            </w:r>
            <w:r w:rsidR="004F4217" w:rsidRPr="00BD7AD2">
              <w:t xml:space="preserve"> non riconducibili alle finalità dell’intervento finanziato</w:t>
            </w:r>
            <w:r w:rsidR="003723DB">
              <w:t>;</w:t>
            </w:r>
          </w:p>
          <w:p w:rsidR="00563276" w:rsidRDefault="00BF3135" w:rsidP="0093020D">
            <w:pPr>
              <w:numPr>
                <w:ilvl w:val="0"/>
                <w:numId w:val="10"/>
              </w:numPr>
              <w:tabs>
                <w:tab w:val="clear" w:pos="720"/>
              </w:tabs>
              <w:autoSpaceDE w:val="0"/>
              <w:autoSpaceDN w:val="0"/>
              <w:adjustRightInd w:val="0"/>
              <w:spacing w:before="120"/>
              <w:ind w:left="432" w:right="126" w:hanging="432"/>
              <w:jc w:val="both"/>
            </w:pPr>
            <w:r w:rsidRPr="00BD7AD2">
              <w:t>i</w:t>
            </w:r>
            <w:r w:rsidR="004F4217" w:rsidRPr="00BD7AD2">
              <w:t>mpianti ed attrezzature usate</w:t>
            </w:r>
            <w:r w:rsidR="00031BB8" w:rsidRPr="00BD7AD2">
              <w:t xml:space="preserve"> nel contesto di investimenti realizzati</w:t>
            </w:r>
            <w:r w:rsidR="00D871BB" w:rsidRPr="00BD7AD2">
              <w:t xml:space="preserve"> </w:t>
            </w:r>
            <w:r w:rsidR="00031BB8" w:rsidRPr="00BD7AD2">
              <w:t xml:space="preserve">da </w:t>
            </w:r>
            <w:r w:rsidR="00D871BB" w:rsidRPr="00BD7AD2">
              <w:t>soggetti diversi dal</w:t>
            </w:r>
            <w:r w:rsidR="004F4217" w:rsidRPr="00BD7AD2">
              <w:t>le microimprese e piccole e medie imprese</w:t>
            </w:r>
            <w:r w:rsidR="00F70A0E">
              <w:t>.</w:t>
            </w:r>
          </w:p>
          <w:p w:rsidR="00A80F70" w:rsidRPr="00BD7AD2" w:rsidRDefault="00563276" w:rsidP="0093020D">
            <w:pPr>
              <w:numPr>
                <w:ilvl w:val="0"/>
                <w:numId w:val="10"/>
              </w:numPr>
              <w:tabs>
                <w:tab w:val="clear" w:pos="720"/>
              </w:tabs>
              <w:autoSpaceDE w:val="0"/>
              <w:autoSpaceDN w:val="0"/>
              <w:adjustRightInd w:val="0"/>
              <w:spacing w:before="120"/>
              <w:ind w:left="432" w:right="126" w:hanging="432"/>
              <w:jc w:val="both"/>
            </w:pPr>
            <w:r w:rsidRPr="00AE5B2B">
              <w:t>manutenzione ordinaria dei beni immobili</w:t>
            </w:r>
            <w:r w:rsidR="00767025">
              <w:t>.</w:t>
            </w:r>
            <w:r w:rsidR="004F4217" w:rsidRPr="00BD7AD2">
              <w:t xml:space="preserve"> </w:t>
            </w:r>
          </w:p>
        </w:tc>
      </w:tr>
    </w:tbl>
    <w:p w:rsidR="009E46E3" w:rsidRDefault="009E46E3" w:rsidP="00273BE4">
      <w:pPr>
        <w:spacing w:before="120"/>
        <w:ind w:right="126"/>
        <w:jc w:val="both"/>
        <w:rPr>
          <w:bCs/>
          <w:szCs w:val="20"/>
        </w:rPr>
      </w:pPr>
    </w:p>
    <w:p w:rsidR="00844002" w:rsidRDefault="009E46E3" w:rsidP="00273BE4">
      <w:pPr>
        <w:spacing w:before="120"/>
        <w:ind w:right="126"/>
        <w:jc w:val="both"/>
        <w:rPr>
          <w:bCs/>
          <w:szCs w:val="20"/>
        </w:rPr>
      </w:pPr>
      <w:r>
        <w:rPr>
          <w:bCs/>
          <w:szCs w:val="20"/>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460"/>
      </w:tblGrid>
      <w:tr w:rsidR="001B50B7" w:rsidRPr="003E0D1C" w:rsidTr="00452302">
        <w:tc>
          <w:tcPr>
            <w:tcW w:w="10368" w:type="dxa"/>
            <w:gridSpan w:val="2"/>
            <w:shd w:val="clear" w:color="auto" w:fill="FFFFFF"/>
          </w:tcPr>
          <w:p w:rsidR="001B50B7" w:rsidRPr="003E0D1C" w:rsidRDefault="001B50B7" w:rsidP="00273BE4">
            <w:pPr>
              <w:ind w:right="126"/>
              <w:jc w:val="center"/>
              <w:rPr>
                <w:b/>
                <w:sz w:val="28"/>
                <w:szCs w:val="28"/>
              </w:rPr>
            </w:pPr>
          </w:p>
          <w:p w:rsidR="001B50B7" w:rsidRPr="00D550BA" w:rsidRDefault="00C271A0" w:rsidP="00273BE4">
            <w:pPr>
              <w:pStyle w:val="Titolo"/>
              <w:spacing w:before="0" w:after="0"/>
              <w:ind w:right="126"/>
              <w:rPr>
                <w:sz w:val="24"/>
                <w:szCs w:val="24"/>
              </w:rPr>
            </w:pPr>
            <w:bookmarkStart w:id="40" w:name="_Toc432090728"/>
            <w:r w:rsidRPr="00D550BA">
              <w:rPr>
                <w:sz w:val="24"/>
                <w:szCs w:val="24"/>
              </w:rPr>
              <w:t>2 – FORMAZIONE, INFORMAZIONE</w:t>
            </w:r>
            <w:r w:rsidRPr="00D550BA">
              <w:rPr>
                <w:b w:val="0"/>
                <w:bCs w:val="0"/>
                <w:color w:val="333399"/>
                <w:sz w:val="24"/>
                <w:szCs w:val="24"/>
              </w:rPr>
              <w:t xml:space="preserve"> </w:t>
            </w:r>
            <w:r w:rsidRPr="00D550BA">
              <w:rPr>
                <w:sz w:val="24"/>
                <w:szCs w:val="24"/>
              </w:rPr>
              <w:t>E DIFFUSIONE DELLE CONOSCENZE</w:t>
            </w:r>
            <w:bookmarkEnd w:id="40"/>
          </w:p>
          <w:p w:rsidR="00E24645" w:rsidRPr="003E0D1C" w:rsidRDefault="00E24645" w:rsidP="00273BE4">
            <w:pPr>
              <w:ind w:right="126"/>
              <w:rPr>
                <w:sz w:val="28"/>
                <w:szCs w:val="28"/>
              </w:rPr>
            </w:pPr>
          </w:p>
        </w:tc>
      </w:tr>
      <w:tr w:rsidR="00942858" w:rsidRPr="007C3AC3" w:rsidTr="004D147B">
        <w:trPr>
          <w:trHeight w:val="988"/>
        </w:trPr>
        <w:tc>
          <w:tcPr>
            <w:tcW w:w="1908" w:type="dxa"/>
            <w:shd w:val="clear" w:color="auto" w:fill="FFFFFF"/>
          </w:tcPr>
          <w:p w:rsidR="00AD35B0" w:rsidRPr="004D147B" w:rsidRDefault="00C271A0" w:rsidP="004D147B">
            <w:pPr>
              <w:spacing w:before="60" w:after="60"/>
              <w:ind w:right="125"/>
              <w:jc w:val="center"/>
              <w:rPr>
                <w:sz w:val="20"/>
                <w:szCs w:val="20"/>
              </w:rPr>
            </w:pPr>
            <w:r w:rsidRPr="004D147B">
              <w:rPr>
                <w:sz w:val="20"/>
                <w:szCs w:val="20"/>
              </w:rPr>
              <w:t>Riferimenti normativi</w:t>
            </w:r>
          </w:p>
        </w:tc>
        <w:tc>
          <w:tcPr>
            <w:tcW w:w="8460" w:type="dxa"/>
            <w:shd w:val="clear" w:color="auto" w:fill="FFFFFF"/>
          </w:tcPr>
          <w:p w:rsidR="00AD35B0" w:rsidRPr="004D147B" w:rsidRDefault="00C271A0" w:rsidP="004D147B">
            <w:pPr>
              <w:spacing w:before="60" w:after="60"/>
              <w:ind w:right="125"/>
              <w:rPr>
                <w:bCs/>
                <w:sz w:val="20"/>
                <w:szCs w:val="20"/>
                <w:lang w:val="en-US"/>
              </w:rPr>
            </w:pPr>
            <w:r w:rsidRPr="004D147B">
              <w:rPr>
                <w:bCs/>
                <w:sz w:val="20"/>
                <w:szCs w:val="20"/>
                <w:lang w:val="en-US"/>
              </w:rPr>
              <w:t>Reg. (UE) n. 1305/2013  art. 14</w:t>
            </w:r>
          </w:p>
          <w:p w:rsidR="00AD35B0" w:rsidRPr="00EA213D" w:rsidRDefault="00C271A0" w:rsidP="004D147B">
            <w:pPr>
              <w:spacing w:before="60" w:after="60"/>
              <w:ind w:right="125"/>
              <w:rPr>
                <w:bCs/>
                <w:sz w:val="20"/>
                <w:szCs w:val="20"/>
                <w:lang w:val="en-US"/>
              </w:rPr>
            </w:pPr>
            <w:r w:rsidRPr="000138CA">
              <w:rPr>
                <w:bCs/>
                <w:sz w:val="20"/>
                <w:szCs w:val="20"/>
                <w:lang w:val="en-US"/>
              </w:rPr>
              <w:t>Reg. (UE) n. 807/2014</w:t>
            </w:r>
            <w:r w:rsidR="00C952B9">
              <w:rPr>
                <w:bCs/>
                <w:sz w:val="20"/>
                <w:szCs w:val="20"/>
                <w:lang w:val="en-US"/>
              </w:rPr>
              <w:t xml:space="preserve"> art. 3</w:t>
            </w:r>
            <w:r w:rsidRPr="000138CA">
              <w:rPr>
                <w:bCs/>
                <w:sz w:val="20"/>
                <w:szCs w:val="20"/>
                <w:lang w:val="en-US"/>
              </w:rPr>
              <w:t xml:space="preserve"> </w:t>
            </w:r>
            <w:r w:rsidRPr="00EA213D">
              <w:rPr>
                <w:bCs/>
                <w:sz w:val="20"/>
                <w:szCs w:val="20"/>
                <w:lang w:val="en-US"/>
              </w:rPr>
              <w:t xml:space="preserve">  </w:t>
            </w:r>
          </w:p>
          <w:p w:rsidR="00AD35B0" w:rsidRPr="007C3AC3" w:rsidRDefault="00C271A0" w:rsidP="004D147B">
            <w:pPr>
              <w:spacing w:before="60" w:after="60"/>
              <w:ind w:right="125"/>
              <w:rPr>
                <w:bCs/>
                <w:sz w:val="20"/>
                <w:szCs w:val="20"/>
                <w:lang w:val="en-US"/>
              </w:rPr>
            </w:pPr>
            <w:r w:rsidRPr="007C3AC3">
              <w:rPr>
                <w:bCs/>
                <w:sz w:val="20"/>
                <w:szCs w:val="20"/>
                <w:lang w:val="en-US"/>
              </w:rPr>
              <w:t>Reg. (UE) n. 808/2014 art. 6</w:t>
            </w:r>
          </w:p>
        </w:tc>
      </w:tr>
      <w:tr w:rsidR="00B22737" w:rsidRPr="006775B4" w:rsidTr="004D147B">
        <w:trPr>
          <w:trHeight w:val="4801"/>
        </w:trPr>
        <w:tc>
          <w:tcPr>
            <w:tcW w:w="1908" w:type="dxa"/>
          </w:tcPr>
          <w:p w:rsidR="00B22737" w:rsidRPr="004D147B" w:rsidRDefault="00C271A0" w:rsidP="00273BE4">
            <w:pPr>
              <w:spacing w:before="120"/>
              <w:ind w:right="126"/>
              <w:jc w:val="center"/>
              <w:rPr>
                <w:sz w:val="20"/>
                <w:szCs w:val="20"/>
              </w:rPr>
            </w:pPr>
            <w:r w:rsidRPr="004D147B">
              <w:rPr>
                <w:sz w:val="20"/>
                <w:szCs w:val="20"/>
              </w:rPr>
              <w:t>Categorie di spesa  eleggibili per la formazione</w:t>
            </w: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p w:rsidR="00B22737" w:rsidRPr="004D147B" w:rsidRDefault="00B22737" w:rsidP="00273BE4">
            <w:pPr>
              <w:spacing w:before="120"/>
              <w:ind w:right="126"/>
              <w:rPr>
                <w:sz w:val="20"/>
                <w:szCs w:val="20"/>
              </w:rPr>
            </w:pPr>
          </w:p>
        </w:tc>
        <w:tc>
          <w:tcPr>
            <w:tcW w:w="8460" w:type="dxa"/>
          </w:tcPr>
          <w:p w:rsidR="00AD35B0" w:rsidRPr="00EA213D"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4D147B">
              <w:rPr>
                <w:sz w:val="20"/>
                <w:szCs w:val="20"/>
              </w:rPr>
              <w:t xml:space="preserve">Ideazione e progettazione dell’intervento formativo, compreso il coordinamento organizzativo; </w:t>
            </w:r>
          </w:p>
          <w:p w:rsidR="00AD35B0" w:rsidRPr="000138CA"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4D147B">
              <w:rPr>
                <w:sz w:val="20"/>
                <w:szCs w:val="20"/>
              </w:rPr>
              <w:t>spese di viaggio, soggiorno , diaria dei partecipanti, nonché i costi connessi per la sostituzione degli agricoltori, tali costi possono essere coperti, se previsti e regolamentati dallo SM, con un sistema di buoni servizio o altro equivalente (voucher);</w:t>
            </w:r>
          </w:p>
          <w:p w:rsidR="00AD35B0" w:rsidRPr="000138CA" w:rsidRDefault="00C271A0" w:rsidP="0093020D">
            <w:pPr>
              <w:numPr>
                <w:ilvl w:val="0"/>
                <w:numId w:val="15"/>
              </w:numPr>
              <w:tabs>
                <w:tab w:val="clear" w:pos="540"/>
              </w:tabs>
              <w:autoSpaceDE w:val="0"/>
              <w:autoSpaceDN w:val="0"/>
              <w:adjustRightInd w:val="0"/>
              <w:spacing w:before="60" w:after="60"/>
              <w:ind w:left="431" w:right="125" w:hanging="357"/>
              <w:jc w:val="both"/>
              <w:rPr>
                <w:sz w:val="20"/>
                <w:szCs w:val="20"/>
              </w:rPr>
            </w:pPr>
            <w:r w:rsidRPr="000138CA">
              <w:rPr>
                <w:sz w:val="20"/>
                <w:szCs w:val="20"/>
              </w:rPr>
              <w:t>compensi del personale docente e non docente;</w:t>
            </w:r>
          </w:p>
          <w:p w:rsidR="00AD35B0" w:rsidRPr="000138CA"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0138CA">
              <w:rPr>
                <w:sz w:val="20"/>
                <w:szCs w:val="20"/>
              </w:rPr>
              <w:t>spese di viaggio, vitto e alloggio personale docente e non docente;</w:t>
            </w:r>
          </w:p>
          <w:p w:rsidR="00AD35B0" w:rsidRPr="000138CA"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0138CA">
              <w:rPr>
                <w:sz w:val="20"/>
                <w:szCs w:val="20"/>
              </w:rPr>
              <w:t xml:space="preserve">spese di iscrizione e frequentazione a percorsi formativi (corsi di formazione, specializzazione, seminari, master, </w:t>
            </w:r>
            <w:r w:rsidR="00C46E59">
              <w:rPr>
                <w:sz w:val="20"/>
                <w:szCs w:val="20"/>
              </w:rPr>
              <w:t xml:space="preserve">workshop, </w:t>
            </w:r>
            <w:r w:rsidRPr="000138CA">
              <w:rPr>
                <w:sz w:val="20"/>
                <w:szCs w:val="20"/>
              </w:rPr>
              <w:t>etc…);</w:t>
            </w:r>
          </w:p>
          <w:p w:rsidR="00AD35B0"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0138CA">
              <w:rPr>
                <w:sz w:val="20"/>
                <w:szCs w:val="20"/>
              </w:rPr>
              <w:t>elaborazione e produzione di supporti didattici;</w:t>
            </w:r>
          </w:p>
          <w:p w:rsidR="00C46E59" w:rsidRPr="000138CA" w:rsidRDefault="00C46E59" w:rsidP="0093020D">
            <w:pPr>
              <w:numPr>
                <w:ilvl w:val="0"/>
                <w:numId w:val="15"/>
              </w:numPr>
              <w:tabs>
                <w:tab w:val="num" w:pos="432"/>
              </w:tabs>
              <w:autoSpaceDE w:val="0"/>
              <w:autoSpaceDN w:val="0"/>
              <w:adjustRightInd w:val="0"/>
              <w:spacing w:before="60" w:after="60"/>
              <w:ind w:left="431" w:right="125" w:hanging="357"/>
              <w:jc w:val="both"/>
              <w:rPr>
                <w:sz w:val="20"/>
                <w:szCs w:val="20"/>
              </w:rPr>
            </w:pPr>
            <w:r>
              <w:rPr>
                <w:sz w:val="20"/>
                <w:szCs w:val="20"/>
              </w:rPr>
              <w:t>spese di hosting per i servizi e-learning;</w:t>
            </w:r>
          </w:p>
          <w:p w:rsidR="00AD35B0" w:rsidRPr="00EA213D"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0138CA">
              <w:rPr>
                <w:sz w:val="20"/>
                <w:szCs w:val="20"/>
              </w:rPr>
              <w:t xml:space="preserve">acquisto materiali di consumo; </w:t>
            </w:r>
          </w:p>
          <w:p w:rsidR="00AD35B0" w:rsidRPr="000138CA"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0138CA">
              <w:rPr>
                <w:sz w:val="20"/>
                <w:szCs w:val="20"/>
              </w:rPr>
              <w:t>spese per affitto immobili e locali utilizzati per la formazione;</w:t>
            </w:r>
          </w:p>
          <w:p w:rsidR="00AD35B0" w:rsidRPr="000138CA"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0138CA">
              <w:rPr>
                <w:sz w:val="20"/>
                <w:szCs w:val="20"/>
              </w:rPr>
              <w:t>acquisti, limitato al periodo di utilizzo, e noleggio di macchinari e attrezzature necessarie alle attività formative;</w:t>
            </w:r>
          </w:p>
          <w:p w:rsidR="00AD35B0" w:rsidRPr="00EA213D" w:rsidRDefault="00C271A0" w:rsidP="0093020D">
            <w:pPr>
              <w:numPr>
                <w:ilvl w:val="0"/>
                <w:numId w:val="15"/>
              </w:numPr>
              <w:tabs>
                <w:tab w:val="num" w:pos="432"/>
              </w:tabs>
              <w:autoSpaceDE w:val="0"/>
              <w:autoSpaceDN w:val="0"/>
              <w:adjustRightInd w:val="0"/>
              <w:spacing w:before="60" w:after="60"/>
              <w:ind w:left="431" w:right="125" w:hanging="357"/>
              <w:jc w:val="both"/>
              <w:rPr>
                <w:sz w:val="20"/>
                <w:szCs w:val="20"/>
              </w:rPr>
            </w:pPr>
            <w:r w:rsidRPr="000138CA">
              <w:rPr>
                <w:sz w:val="20"/>
                <w:szCs w:val="20"/>
              </w:rPr>
              <w:t>spese di pubblicizzazione delle iniziative di formazione;</w:t>
            </w:r>
          </w:p>
          <w:p w:rsidR="00AD35B0" w:rsidRPr="00EA213D" w:rsidRDefault="00C271A0" w:rsidP="00290737">
            <w:pPr>
              <w:numPr>
                <w:ilvl w:val="0"/>
                <w:numId w:val="15"/>
              </w:numPr>
              <w:tabs>
                <w:tab w:val="num" w:pos="432"/>
              </w:tabs>
              <w:autoSpaceDE w:val="0"/>
              <w:autoSpaceDN w:val="0"/>
              <w:adjustRightInd w:val="0"/>
              <w:spacing w:before="60" w:after="60"/>
              <w:ind w:left="431" w:right="125" w:hanging="357"/>
              <w:jc w:val="both"/>
              <w:rPr>
                <w:sz w:val="20"/>
                <w:szCs w:val="20"/>
              </w:rPr>
            </w:pPr>
            <w:r w:rsidRPr="00EA213D">
              <w:rPr>
                <w:sz w:val="20"/>
                <w:szCs w:val="20"/>
              </w:rPr>
              <w:t xml:space="preserve">spese generali, </w:t>
            </w:r>
            <w:r w:rsidR="00290737">
              <w:rPr>
                <w:sz w:val="20"/>
                <w:szCs w:val="20"/>
              </w:rPr>
              <w:t xml:space="preserve">secondo i massimali  previsti dalle </w:t>
            </w:r>
            <w:r w:rsidRPr="00EA213D">
              <w:rPr>
                <w:sz w:val="20"/>
                <w:szCs w:val="20"/>
              </w:rPr>
              <w:t xml:space="preserve"> disposizioni dell’Autorità di gestione.</w:t>
            </w:r>
          </w:p>
        </w:tc>
      </w:tr>
      <w:tr w:rsidR="00B22737" w:rsidRPr="006775B4" w:rsidTr="004D147B">
        <w:trPr>
          <w:trHeight w:val="4745"/>
        </w:trPr>
        <w:tc>
          <w:tcPr>
            <w:tcW w:w="1908" w:type="dxa"/>
            <w:shd w:val="clear" w:color="auto" w:fill="auto"/>
          </w:tcPr>
          <w:p w:rsidR="00B22737" w:rsidRPr="00EA213D" w:rsidRDefault="00C271A0" w:rsidP="00273BE4">
            <w:pPr>
              <w:spacing w:before="120"/>
              <w:ind w:right="126"/>
              <w:jc w:val="center"/>
              <w:rPr>
                <w:sz w:val="20"/>
                <w:szCs w:val="20"/>
              </w:rPr>
            </w:pPr>
            <w:r w:rsidRPr="000138CA">
              <w:rPr>
                <w:sz w:val="20"/>
                <w:szCs w:val="20"/>
              </w:rPr>
              <w:t>Categorie di spesa eleggibili per informazione e diffusione delle conoscenze</w:t>
            </w:r>
          </w:p>
        </w:tc>
        <w:tc>
          <w:tcPr>
            <w:tcW w:w="8460" w:type="dxa"/>
          </w:tcPr>
          <w:p w:rsidR="00AD35B0" w:rsidRPr="00EA213D" w:rsidRDefault="00C271A0" w:rsidP="0093020D">
            <w:pPr>
              <w:numPr>
                <w:ilvl w:val="0"/>
                <w:numId w:val="16"/>
              </w:numPr>
              <w:tabs>
                <w:tab w:val="clear" w:pos="720"/>
                <w:tab w:val="num" w:pos="432"/>
              </w:tabs>
              <w:spacing w:before="60" w:after="60"/>
              <w:ind w:left="432" w:right="125" w:hanging="432"/>
              <w:jc w:val="both"/>
              <w:rPr>
                <w:sz w:val="20"/>
                <w:szCs w:val="20"/>
              </w:rPr>
            </w:pPr>
            <w:r w:rsidRPr="000138CA">
              <w:rPr>
                <w:sz w:val="20"/>
                <w:szCs w:val="20"/>
              </w:rPr>
              <w:t>Spese per attività di ricognizione, elaborazione e diffusione delle informazioni;</w:t>
            </w:r>
          </w:p>
          <w:p w:rsidR="00AD35B0" w:rsidRPr="00EA213D" w:rsidRDefault="00C271A0" w:rsidP="0093020D">
            <w:pPr>
              <w:numPr>
                <w:ilvl w:val="0"/>
                <w:numId w:val="16"/>
              </w:numPr>
              <w:tabs>
                <w:tab w:val="clear" w:pos="720"/>
                <w:tab w:val="num" w:pos="432"/>
              </w:tabs>
              <w:spacing w:before="60" w:after="60"/>
              <w:ind w:left="432" w:right="125" w:hanging="432"/>
              <w:jc w:val="both"/>
              <w:rPr>
                <w:sz w:val="20"/>
                <w:szCs w:val="20"/>
              </w:rPr>
            </w:pPr>
            <w:r w:rsidRPr="00EA213D">
              <w:rPr>
                <w:sz w:val="20"/>
                <w:szCs w:val="20"/>
              </w:rPr>
              <w:t>organizzazione di fiere ed esposizioni;</w:t>
            </w:r>
          </w:p>
          <w:p w:rsidR="00AD35B0" w:rsidRPr="00EA213D" w:rsidRDefault="00C271A0" w:rsidP="0093020D">
            <w:pPr>
              <w:numPr>
                <w:ilvl w:val="0"/>
                <w:numId w:val="16"/>
              </w:numPr>
              <w:tabs>
                <w:tab w:val="clear" w:pos="720"/>
                <w:tab w:val="num" w:pos="432"/>
              </w:tabs>
              <w:spacing w:before="60" w:after="60"/>
              <w:ind w:left="432" w:right="125" w:hanging="432"/>
              <w:jc w:val="both"/>
              <w:rPr>
                <w:sz w:val="20"/>
                <w:szCs w:val="20"/>
              </w:rPr>
            </w:pPr>
            <w:r w:rsidRPr="00EA213D">
              <w:rPr>
                <w:sz w:val="20"/>
                <w:szCs w:val="20"/>
              </w:rPr>
              <w:t>partecipazione a fiere ed esposizioni;</w:t>
            </w:r>
          </w:p>
          <w:p w:rsidR="00AD35B0" w:rsidRPr="00EA213D" w:rsidRDefault="00C271A0" w:rsidP="0093020D">
            <w:pPr>
              <w:numPr>
                <w:ilvl w:val="0"/>
                <w:numId w:val="16"/>
              </w:numPr>
              <w:tabs>
                <w:tab w:val="clear" w:pos="720"/>
              </w:tabs>
              <w:spacing w:before="60" w:after="60"/>
              <w:ind w:left="432" w:right="125" w:hanging="432"/>
              <w:jc w:val="both"/>
              <w:rPr>
                <w:sz w:val="20"/>
                <w:szCs w:val="20"/>
              </w:rPr>
            </w:pPr>
            <w:r w:rsidRPr="00EA213D">
              <w:rPr>
                <w:sz w:val="20"/>
                <w:szCs w:val="20"/>
              </w:rPr>
              <w:t>realizzazione di convegni, seminari divulgativi, incontri informativi, open day e Workshop tematici, spese di missioni e compensi per i relatori, spese per viaggi di studio, scambio di buone pratiche e visite dimostrative (presso enti, istituti, aziende, ecc.);</w:t>
            </w:r>
          </w:p>
          <w:p w:rsidR="00AD35B0" w:rsidRPr="00EA213D" w:rsidRDefault="00C271A0" w:rsidP="0093020D">
            <w:pPr>
              <w:numPr>
                <w:ilvl w:val="0"/>
                <w:numId w:val="16"/>
              </w:numPr>
              <w:tabs>
                <w:tab w:val="clear" w:pos="720"/>
                <w:tab w:val="num" w:pos="432"/>
              </w:tabs>
              <w:spacing w:before="60" w:after="60"/>
              <w:ind w:left="432" w:right="125" w:hanging="432"/>
              <w:jc w:val="both"/>
              <w:rPr>
                <w:sz w:val="20"/>
                <w:szCs w:val="20"/>
              </w:rPr>
            </w:pPr>
            <w:r w:rsidRPr="00EA213D">
              <w:rPr>
                <w:sz w:val="20"/>
                <w:szCs w:val="20"/>
              </w:rPr>
              <w:t>noleggio mezzi di trasporto, strumenti didattici ed informatici, macchine e strumenti dimostrativi;</w:t>
            </w:r>
          </w:p>
          <w:p w:rsidR="00AD35B0" w:rsidRPr="00EA213D" w:rsidRDefault="00C271A0" w:rsidP="0093020D">
            <w:pPr>
              <w:numPr>
                <w:ilvl w:val="0"/>
                <w:numId w:val="16"/>
              </w:numPr>
              <w:tabs>
                <w:tab w:val="clear" w:pos="720"/>
                <w:tab w:val="num" w:pos="432"/>
              </w:tabs>
              <w:spacing w:before="60" w:after="60"/>
              <w:ind w:left="432" w:right="125" w:hanging="432"/>
              <w:jc w:val="both"/>
              <w:rPr>
                <w:sz w:val="20"/>
                <w:szCs w:val="20"/>
              </w:rPr>
            </w:pPr>
            <w:r w:rsidRPr="00EA213D">
              <w:rPr>
                <w:sz w:val="20"/>
                <w:szCs w:val="20"/>
              </w:rPr>
              <w:t>utilizzo strutture esterne;</w:t>
            </w:r>
          </w:p>
          <w:p w:rsidR="00AD35B0" w:rsidRPr="00EA213D" w:rsidRDefault="00C271A0" w:rsidP="0093020D">
            <w:pPr>
              <w:numPr>
                <w:ilvl w:val="0"/>
                <w:numId w:val="16"/>
              </w:numPr>
              <w:tabs>
                <w:tab w:val="clear" w:pos="720"/>
                <w:tab w:val="num" w:pos="432"/>
              </w:tabs>
              <w:spacing w:before="60" w:after="60"/>
              <w:ind w:left="432" w:right="125" w:hanging="432"/>
              <w:jc w:val="both"/>
              <w:rPr>
                <w:sz w:val="20"/>
                <w:szCs w:val="20"/>
              </w:rPr>
            </w:pPr>
            <w:r w:rsidRPr="000138CA">
              <w:rPr>
                <w:sz w:val="20"/>
                <w:szCs w:val="20"/>
              </w:rPr>
              <w:t>Nel caso di progetti dimostrativi, allo scopo di mostrare risultati e tecniche già testati e pronti per l’uso, limitatamente al periodo dimostrativo, sono ammissibili gli acquisti di macchinari e attrezzature, esclusi i costi contrattuali (assicurazioni, interessi, ecc.)</w:t>
            </w:r>
          </w:p>
          <w:p w:rsidR="00AD35B0" w:rsidRPr="000138CA" w:rsidRDefault="00C271A0" w:rsidP="0093020D">
            <w:pPr>
              <w:numPr>
                <w:ilvl w:val="0"/>
                <w:numId w:val="16"/>
              </w:numPr>
              <w:tabs>
                <w:tab w:val="clear" w:pos="720"/>
                <w:tab w:val="num" w:pos="432"/>
              </w:tabs>
              <w:spacing w:before="60" w:after="60"/>
              <w:ind w:left="432" w:right="125" w:hanging="432"/>
              <w:jc w:val="both"/>
              <w:rPr>
                <w:sz w:val="20"/>
                <w:szCs w:val="20"/>
              </w:rPr>
            </w:pPr>
            <w:r w:rsidRPr="00EA213D">
              <w:rPr>
                <w:sz w:val="20"/>
                <w:szCs w:val="20"/>
              </w:rPr>
              <w:t>coordinamento organizzativo: max 5% del totale dei costi;</w:t>
            </w:r>
          </w:p>
          <w:p w:rsidR="00AD35B0" w:rsidRPr="00EA213D" w:rsidRDefault="00C271A0" w:rsidP="0093020D">
            <w:pPr>
              <w:numPr>
                <w:ilvl w:val="0"/>
                <w:numId w:val="16"/>
              </w:numPr>
              <w:tabs>
                <w:tab w:val="clear" w:pos="720"/>
                <w:tab w:val="num" w:pos="432"/>
              </w:tabs>
              <w:spacing w:before="60" w:after="60"/>
              <w:ind w:left="432" w:right="125" w:hanging="432"/>
              <w:jc w:val="both"/>
              <w:rPr>
                <w:sz w:val="20"/>
                <w:szCs w:val="20"/>
              </w:rPr>
            </w:pPr>
            <w:r w:rsidRPr="000138CA">
              <w:rPr>
                <w:sz w:val="20"/>
                <w:szCs w:val="20"/>
              </w:rPr>
              <w:t>realizzazione e diffusione materiale informativo (pubblicazioni specialistiche, bollettini e newsletter, ecc.);</w:t>
            </w:r>
          </w:p>
          <w:p w:rsidR="00AD35B0" w:rsidRPr="000138CA" w:rsidRDefault="00C271A0" w:rsidP="0093020D">
            <w:pPr>
              <w:numPr>
                <w:ilvl w:val="0"/>
                <w:numId w:val="16"/>
              </w:numPr>
              <w:tabs>
                <w:tab w:val="clear" w:pos="720"/>
                <w:tab w:val="num" w:pos="432"/>
              </w:tabs>
              <w:spacing w:before="60" w:after="60"/>
              <w:ind w:left="432" w:right="125" w:hanging="432"/>
              <w:jc w:val="both"/>
              <w:rPr>
                <w:sz w:val="20"/>
                <w:szCs w:val="20"/>
              </w:rPr>
            </w:pPr>
            <w:r w:rsidRPr="000138CA">
              <w:rPr>
                <w:sz w:val="20"/>
                <w:szCs w:val="20"/>
              </w:rPr>
              <w:t>spese generali</w:t>
            </w:r>
            <w:r w:rsidR="00290737">
              <w:rPr>
                <w:sz w:val="20"/>
                <w:szCs w:val="20"/>
              </w:rPr>
              <w:t>.</w:t>
            </w:r>
          </w:p>
          <w:p w:rsidR="00AD35B0" w:rsidRPr="000138CA" w:rsidRDefault="00AD35B0" w:rsidP="000138CA">
            <w:pPr>
              <w:spacing w:before="60" w:after="60"/>
              <w:ind w:right="125"/>
              <w:jc w:val="both"/>
              <w:rPr>
                <w:sz w:val="20"/>
                <w:szCs w:val="20"/>
              </w:rPr>
            </w:pPr>
          </w:p>
        </w:tc>
      </w:tr>
      <w:tr w:rsidR="00B22737" w:rsidRPr="006775B4" w:rsidTr="00452302">
        <w:tc>
          <w:tcPr>
            <w:tcW w:w="1908" w:type="dxa"/>
            <w:shd w:val="clear" w:color="auto" w:fill="auto"/>
          </w:tcPr>
          <w:p w:rsidR="00B22737" w:rsidRPr="000138CA" w:rsidRDefault="00C271A0" w:rsidP="00273BE4">
            <w:pPr>
              <w:spacing w:before="120"/>
              <w:ind w:right="126"/>
              <w:jc w:val="center"/>
              <w:rPr>
                <w:sz w:val="20"/>
                <w:szCs w:val="20"/>
              </w:rPr>
            </w:pPr>
            <w:r w:rsidRPr="000138CA">
              <w:rPr>
                <w:sz w:val="20"/>
                <w:szCs w:val="20"/>
              </w:rPr>
              <w:t>Vincoli e limitazioni</w:t>
            </w:r>
          </w:p>
        </w:tc>
        <w:tc>
          <w:tcPr>
            <w:tcW w:w="8460" w:type="dxa"/>
          </w:tcPr>
          <w:p w:rsidR="00B22737" w:rsidRPr="00EA213D" w:rsidRDefault="00C271A0" w:rsidP="00273BE4">
            <w:pPr>
              <w:spacing w:before="120"/>
              <w:ind w:right="126"/>
              <w:jc w:val="both"/>
              <w:rPr>
                <w:sz w:val="20"/>
                <w:szCs w:val="20"/>
              </w:rPr>
            </w:pPr>
            <w:r w:rsidRPr="000138CA">
              <w:rPr>
                <w:sz w:val="20"/>
                <w:szCs w:val="20"/>
              </w:rPr>
              <w:t>Al fine di evitare il rischio di doppio finanziamento, le azioni di informazione e di promozione finanziate nell’ambito del Reg. (CE) Reg. 3/2008 devono essere escluse dal sostegno dello sviluppo rurale.</w:t>
            </w:r>
          </w:p>
          <w:p w:rsidR="002156A3" w:rsidRPr="000138CA" w:rsidRDefault="002156A3" w:rsidP="00273BE4">
            <w:pPr>
              <w:spacing w:before="120"/>
              <w:ind w:right="126"/>
              <w:jc w:val="both"/>
              <w:rPr>
                <w:sz w:val="20"/>
                <w:szCs w:val="20"/>
              </w:rPr>
            </w:pPr>
          </w:p>
        </w:tc>
      </w:tr>
    </w:tbl>
    <w:p w:rsidR="0065327E" w:rsidRDefault="0065327E" w:rsidP="00273BE4">
      <w:pPr>
        <w:ind w:right="126"/>
      </w:pPr>
    </w:p>
    <w:p w:rsidR="00A01342" w:rsidRDefault="00A01342" w:rsidP="00273BE4">
      <w:pPr>
        <w:ind w:right="126"/>
      </w:pPr>
    </w:p>
    <w:p w:rsidR="004F4DE3" w:rsidRDefault="004F4DE3" w:rsidP="00273BE4">
      <w:pPr>
        <w:ind w:right="126"/>
      </w:pPr>
    </w:p>
    <w:p w:rsidR="00ED2206" w:rsidRDefault="00ED2206"/>
    <w:tbl>
      <w:tblPr>
        <w:tblW w:w="10440" w:type="dxa"/>
        <w:tblInd w:w="-72" w:type="dxa"/>
        <w:tblLook w:val="01E0" w:firstRow="1" w:lastRow="1" w:firstColumn="1" w:lastColumn="1" w:noHBand="0" w:noVBand="0"/>
      </w:tblPr>
      <w:tblGrid>
        <w:gridCol w:w="2164"/>
        <w:gridCol w:w="8276"/>
      </w:tblGrid>
      <w:tr w:rsidR="009C65F6" w:rsidRPr="001528C2" w:rsidTr="001E5B1B">
        <w:trPr>
          <w:trHeight w:val="437"/>
        </w:trPr>
        <w:tc>
          <w:tcPr>
            <w:tcW w:w="10440" w:type="dxa"/>
            <w:gridSpan w:val="2"/>
            <w:tcBorders>
              <w:top w:val="single" w:sz="4" w:space="0" w:color="auto"/>
              <w:left w:val="single" w:sz="4" w:space="0" w:color="auto"/>
              <w:right w:val="single" w:sz="4" w:space="0" w:color="auto"/>
            </w:tcBorders>
            <w:shd w:val="clear" w:color="auto" w:fill="FFFFFF"/>
            <w:vAlign w:val="center"/>
          </w:tcPr>
          <w:p w:rsidR="00C1062E" w:rsidRDefault="00C1062E" w:rsidP="00C1062E">
            <w:pPr>
              <w:ind w:right="126"/>
              <w:jc w:val="center"/>
              <w:rPr>
                <w:b/>
                <w:sz w:val="28"/>
                <w:szCs w:val="28"/>
              </w:rPr>
            </w:pPr>
            <w:bookmarkStart w:id="41" w:name="_Toc426033408"/>
          </w:p>
          <w:p w:rsidR="009C65F6" w:rsidRDefault="002C4AAF" w:rsidP="00C1062E">
            <w:pPr>
              <w:ind w:right="126"/>
              <w:jc w:val="center"/>
              <w:rPr>
                <w:b/>
                <w:sz w:val="28"/>
                <w:szCs w:val="28"/>
              </w:rPr>
            </w:pPr>
            <w:r>
              <w:rPr>
                <w:b/>
                <w:sz w:val="28"/>
                <w:szCs w:val="28"/>
              </w:rPr>
              <w:t xml:space="preserve">3- </w:t>
            </w:r>
            <w:r w:rsidR="009C65F6" w:rsidRPr="00C1062E">
              <w:rPr>
                <w:b/>
                <w:sz w:val="28"/>
                <w:szCs w:val="28"/>
              </w:rPr>
              <w:t xml:space="preserve">LEADER </w:t>
            </w:r>
            <w:bookmarkEnd w:id="41"/>
            <w:r>
              <w:rPr>
                <w:b/>
                <w:sz w:val="28"/>
                <w:szCs w:val="28"/>
              </w:rPr>
              <w:t>e CLLD</w:t>
            </w:r>
          </w:p>
          <w:p w:rsidR="00C1062E" w:rsidRPr="00C1062E" w:rsidRDefault="00C1062E" w:rsidP="00C1062E">
            <w:pPr>
              <w:ind w:right="126"/>
              <w:jc w:val="center"/>
              <w:rPr>
                <w:b/>
                <w:sz w:val="28"/>
                <w:szCs w:val="28"/>
              </w:rPr>
            </w:pPr>
          </w:p>
        </w:tc>
      </w:tr>
      <w:tr w:rsidR="009C65F6" w:rsidRPr="001528C2" w:rsidTr="001E5B1B">
        <w:trPr>
          <w:trHeight w:val="691"/>
        </w:trPr>
        <w:tc>
          <w:tcPr>
            <w:tcW w:w="2164" w:type="dxa"/>
            <w:tcBorders>
              <w:top w:val="single" w:sz="4" w:space="0" w:color="auto"/>
              <w:left w:val="single" w:sz="4" w:space="0" w:color="auto"/>
              <w:bottom w:val="single" w:sz="4" w:space="0" w:color="auto"/>
              <w:right w:val="single" w:sz="4" w:space="0" w:color="auto"/>
            </w:tcBorders>
            <w:shd w:val="clear" w:color="auto" w:fill="FFFFFF"/>
          </w:tcPr>
          <w:p w:rsidR="009C65F6" w:rsidRPr="00C25C03" w:rsidRDefault="009C65F6" w:rsidP="00C25C03">
            <w:pPr>
              <w:ind w:right="126"/>
            </w:pPr>
            <w:r w:rsidRPr="00C25C03">
              <w:t xml:space="preserve">Riferimenti normativi </w:t>
            </w:r>
          </w:p>
        </w:tc>
        <w:tc>
          <w:tcPr>
            <w:tcW w:w="8276" w:type="dxa"/>
            <w:tcBorders>
              <w:top w:val="single" w:sz="4" w:space="0" w:color="auto"/>
              <w:left w:val="single" w:sz="4" w:space="0" w:color="auto"/>
              <w:bottom w:val="single" w:sz="4" w:space="0" w:color="auto"/>
              <w:right w:val="single" w:sz="4" w:space="0" w:color="auto"/>
            </w:tcBorders>
            <w:shd w:val="clear" w:color="auto" w:fill="FFFFFF"/>
          </w:tcPr>
          <w:p w:rsidR="009C65F6" w:rsidRPr="001659CF" w:rsidRDefault="009C65F6" w:rsidP="007A1BF3">
            <w:pPr>
              <w:ind w:right="126"/>
            </w:pPr>
            <w:r w:rsidRPr="007A1BF3">
              <w:t xml:space="preserve">Reg. (UE) n. 1303/2013 Capo II artt. da 32 a 35; </w:t>
            </w:r>
          </w:p>
          <w:p w:rsidR="009C65F6" w:rsidRPr="002868B1" w:rsidRDefault="009C65F6" w:rsidP="00D40C55">
            <w:pPr>
              <w:ind w:right="126"/>
            </w:pPr>
            <w:r w:rsidRPr="00D40C55">
              <w:t>Reg. (UE) n. 1305/2013 artt. 42</w:t>
            </w:r>
            <w:r w:rsidRPr="002868B1">
              <w:t>, 43 e 44.</w:t>
            </w:r>
          </w:p>
        </w:tc>
      </w:tr>
      <w:tr w:rsidR="009C65F6" w:rsidRPr="001528C2" w:rsidTr="001E5B1B">
        <w:tc>
          <w:tcPr>
            <w:tcW w:w="10440" w:type="dxa"/>
            <w:gridSpan w:val="2"/>
            <w:tcBorders>
              <w:top w:val="single" w:sz="4" w:space="0" w:color="auto"/>
              <w:left w:val="single" w:sz="4" w:space="0" w:color="auto"/>
              <w:bottom w:val="single" w:sz="4" w:space="0" w:color="auto"/>
              <w:right w:val="single" w:sz="4" w:space="0" w:color="auto"/>
            </w:tcBorders>
            <w:shd w:val="clear" w:color="auto" w:fill="FFFFFF"/>
          </w:tcPr>
          <w:p w:rsidR="009C65F6" w:rsidRPr="00C25C03" w:rsidRDefault="009C65F6" w:rsidP="00C25C03">
            <w:pPr>
              <w:ind w:right="126"/>
              <w:jc w:val="center"/>
              <w:rPr>
                <w:b/>
                <w:bCs/>
              </w:rPr>
            </w:pPr>
            <w:r w:rsidRPr="00C25C03">
              <w:rPr>
                <w:b/>
                <w:bCs/>
              </w:rPr>
              <w:t>Sostegno preparatorio</w:t>
            </w:r>
          </w:p>
        </w:tc>
      </w:tr>
      <w:tr w:rsidR="009C65F6" w:rsidRPr="001528C2" w:rsidTr="001E5B1B">
        <w:tc>
          <w:tcPr>
            <w:tcW w:w="2164" w:type="dxa"/>
            <w:tcBorders>
              <w:top w:val="single" w:sz="4" w:space="0" w:color="auto"/>
              <w:left w:val="single" w:sz="4" w:space="0" w:color="auto"/>
              <w:bottom w:val="single" w:sz="4" w:space="0" w:color="auto"/>
              <w:right w:val="single" w:sz="4" w:space="0" w:color="auto"/>
            </w:tcBorders>
            <w:shd w:val="clear" w:color="auto" w:fill="FFFFFF"/>
          </w:tcPr>
          <w:p w:rsidR="009C65F6" w:rsidRPr="00C25C03" w:rsidRDefault="009C65F6" w:rsidP="00C25C03">
            <w:pPr>
              <w:ind w:right="126"/>
              <w:jc w:val="center"/>
            </w:pPr>
            <w:r w:rsidRPr="00C25C03">
              <w:t>Categorie di spesa eleggibili</w:t>
            </w:r>
          </w:p>
          <w:p w:rsidR="009C65F6" w:rsidRPr="007A1BF3" w:rsidRDefault="009C65F6" w:rsidP="007A1BF3">
            <w:pPr>
              <w:ind w:right="126"/>
              <w:jc w:val="center"/>
              <w:rPr>
                <w:b/>
                <w:bCs/>
              </w:rPr>
            </w:pPr>
          </w:p>
        </w:tc>
        <w:tc>
          <w:tcPr>
            <w:tcW w:w="8276" w:type="dxa"/>
            <w:tcBorders>
              <w:top w:val="single" w:sz="4" w:space="0" w:color="auto"/>
              <w:left w:val="single" w:sz="4" w:space="0" w:color="auto"/>
              <w:bottom w:val="single" w:sz="4" w:space="0" w:color="auto"/>
              <w:right w:val="single" w:sz="4" w:space="0" w:color="auto"/>
            </w:tcBorders>
            <w:shd w:val="clear" w:color="auto" w:fill="FFFFFF"/>
          </w:tcPr>
          <w:p w:rsidR="009C65F6" w:rsidRPr="001659CF" w:rsidRDefault="009C65F6" w:rsidP="00D40C55">
            <w:pPr>
              <w:ind w:right="126"/>
            </w:pPr>
            <w:r w:rsidRPr="00D40C55">
              <w:t>Disposizioni specifiche riguardanti l’ammissibilità delle spese sono contenute nell’art. 35</w:t>
            </w:r>
            <w:r w:rsidRPr="002868B1">
              <w:t xml:space="preserve">, par. 1, lett. a), </w:t>
            </w:r>
            <w:r w:rsidRPr="00C25C03">
              <w:t>del Reg. (UE) n. 1303/2013, il quale prevede che i costi del sostegno preparatorio</w:t>
            </w:r>
            <w:r w:rsidRPr="007A1BF3">
              <w:t xml:space="preserve"> possono includere uno o più dei seguenti elementi:</w:t>
            </w:r>
          </w:p>
          <w:p w:rsidR="009C65F6" w:rsidRPr="002868B1" w:rsidRDefault="009C65F6" w:rsidP="002868B1">
            <w:pPr>
              <w:ind w:right="126"/>
            </w:pPr>
            <w:r w:rsidRPr="00D40C55">
              <w:t>i) iniziative di formazione rivolte alle parti interessate locali;</w:t>
            </w:r>
          </w:p>
          <w:p w:rsidR="009C65F6" w:rsidRPr="002868B1" w:rsidRDefault="009C65F6" w:rsidP="002868B1">
            <w:pPr>
              <w:ind w:right="126"/>
            </w:pPr>
            <w:r w:rsidRPr="002868B1">
              <w:t>ii) studi dell'area interessata;</w:t>
            </w:r>
          </w:p>
          <w:p w:rsidR="009C65F6" w:rsidRPr="00F835AC" w:rsidRDefault="009C65F6" w:rsidP="00F835AC">
            <w:pPr>
              <w:ind w:right="126"/>
            </w:pPr>
            <w:r w:rsidRPr="00F835AC">
              <w:t>iii) spese relative alla progettazione della strategia di sviluppo locale di tipo partecipativo, incluse consulenza e azioni legate alla consultazione delle parti interessate ai fini della preparazione della strategia;</w:t>
            </w:r>
          </w:p>
          <w:p w:rsidR="009C65F6" w:rsidRPr="005479C5" w:rsidRDefault="009C65F6" w:rsidP="00F835AC">
            <w:pPr>
              <w:ind w:right="126"/>
            </w:pPr>
            <w:r w:rsidRPr="005479C5">
              <w:t>iv) spese amministrative (costi operativi e per il personale) di un'organizzazione che si candida al sostegno preparatorio nel corso della fase di preparazione;</w:t>
            </w:r>
          </w:p>
          <w:p w:rsidR="009C65F6" w:rsidRDefault="009C65F6" w:rsidP="005479C5">
            <w:pPr>
              <w:ind w:right="126"/>
            </w:pPr>
            <w:r w:rsidRPr="005479C5">
              <w:t>v) sostegno a piccoli progetti pilota.</w:t>
            </w:r>
          </w:p>
          <w:p w:rsidR="008579A9" w:rsidRPr="005479C5" w:rsidRDefault="008579A9" w:rsidP="005479C5">
            <w:pPr>
              <w:ind w:right="126"/>
            </w:pPr>
          </w:p>
          <w:p w:rsidR="008579A9" w:rsidRPr="008579A9" w:rsidRDefault="008579A9" w:rsidP="008579A9">
            <w:pPr>
              <w:ind w:right="126"/>
            </w:pPr>
            <w:r w:rsidRPr="008579A9">
              <w:t>In relazione alle spese amministrative i costi operativi possono comprendere le spese connesse alla costituzione del Gruppo d'Azione Locale (spese notarili, spese di registrazione, ecc.)</w:t>
            </w:r>
          </w:p>
          <w:p w:rsidR="008579A9" w:rsidRDefault="008579A9" w:rsidP="005479C5">
            <w:pPr>
              <w:ind w:right="126"/>
            </w:pPr>
          </w:p>
          <w:p w:rsidR="009C65F6" w:rsidRPr="00A07F43" w:rsidRDefault="009C65F6" w:rsidP="005479C5">
            <w:pPr>
              <w:ind w:right="126"/>
            </w:pPr>
            <w:r w:rsidRPr="00A07F43">
              <w:t>Tale sostegno preparatorio è ammissibile a prescindere dall'eventualità che la strategia di sviluppo locale di tipo partecipativo progettata dal gruppo d'azione locale che beneficia del sostegno venga selezionata.</w:t>
            </w:r>
          </w:p>
          <w:p w:rsidR="009C65F6" w:rsidRPr="002403C1" w:rsidRDefault="009C65F6" w:rsidP="00A07F43">
            <w:pPr>
              <w:ind w:right="126"/>
            </w:pPr>
          </w:p>
          <w:p w:rsidR="009C65F6" w:rsidRPr="00454E51" w:rsidRDefault="009C65F6" w:rsidP="002403C1">
            <w:pPr>
              <w:ind w:right="126"/>
            </w:pPr>
            <w:r w:rsidRPr="00BE6EB6">
              <w:t>Tale concetto è ripreso anche nell’art. 43 del R</w:t>
            </w:r>
            <w:r w:rsidRPr="00637A02">
              <w:t>eg. (UE) n. 1305/2013 “Kit di avviamento LEADER” che recita: “</w:t>
            </w:r>
            <w:r w:rsidRPr="00CD4CD8">
              <w:rPr>
                <w:color w:val="000000"/>
              </w:rPr>
              <w:t>Il sostegno allo sviluppo locale nell'ambito di LEADER può comprendere anche un "kit di avviamento LEADER" per le comunità locali che non hanno attuato LEADER nel periodo di programmazione 2007-</w:t>
            </w:r>
            <w:r w:rsidRPr="002D3F88">
              <w:rPr>
                <w:color w:val="000000"/>
              </w:rPr>
              <w:t>2013. Il "kit di avviamento LEADER" comporta il sostegno al potenziamento delle capacità e ai progetti pilota su piccola scala. Il sostegno a titolo del kit di avviamento LEADER non è subordinato alla presentazione di una strategia di sviluppo locale nell’</w:t>
            </w:r>
            <w:r w:rsidRPr="00454E51">
              <w:rPr>
                <w:color w:val="000000"/>
              </w:rPr>
              <w:t>ambito di LEADER”.</w:t>
            </w:r>
            <w:r w:rsidRPr="00454E51">
              <w:t xml:space="preserve"> </w:t>
            </w:r>
          </w:p>
          <w:p w:rsidR="009C65F6" w:rsidRPr="00557140" w:rsidRDefault="009C65F6" w:rsidP="002403C1">
            <w:pPr>
              <w:ind w:right="126"/>
            </w:pPr>
          </w:p>
          <w:p w:rsidR="009C65F6" w:rsidRPr="00072D75" w:rsidRDefault="009C65F6" w:rsidP="00A01342">
            <w:pPr>
              <w:ind w:right="126"/>
              <w:rPr>
                <w:b/>
                <w:bCs/>
              </w:rPr>
            </w:pPr>
          </w:p>
        </w:tc>
      </w:tr>
      <w:tr w:rsidR="009C65F6" w:rsidRPr="001528C2" w:rsidTr="001E5B1B">
        <w:tc>
          <w:tcPr>
            <w:tcW w:w="10440" w:type="dxa"/>
            <w:gridSpan w:val="2"/>
            <w:tcBorders>
              <w:top w:val="single" w:sz="4" w:space="0" w:color="auto"/>
              <w:left w:val="single" w:sz="4" w:space="0" w:color="auto"/>
              <w:bottom w:val="single" w:sz="4" w:space="0" w:color="auto"/>
              <w:right w:val="single" w:sz="4" w:space="0" w:color="auto"/>
            </w:tcBorders>
            <w:shd w:val="clear" w:color="auto" w:fill="FFFFFF"/>
          </w:tcPr>
          <w:p w:rsidR="009C65F6" w:rsidRPr="00C25C03" w:rsidRDefault="009C65F6" w:rsidP="00C25C03">
            <w:pPr>
              <w:ind w:right="126"/>
              <w:jc w:val="center"/>
              <w:rPr>
                <w:b/>
                <w:bCs/>
              </w:rPr>
            </w:pPr>
            <w:r w:rsidRPr="00C25C03">
              <w:rPr>
                <w:b/>
                <w:bCs/>
              </w:rPr>
              <w:t>Sostegno per i costi di gestione e animazione</w:t>
            </w:r>
          </w:p>
        </w:tc>
      </w:tr>
      <w:tr w:rsidR="009C65F6" w:rsidRPr="001528C2" w:rsidTr="001E5B1B">
        <w:tc>
          <w:tcPr>
            <w:tcW w:w="10440" w:type="dxa"/>
            <w:gridSpan w:val="2"/>
            <w:tcBorders>
              <w:top w:val="single" w:sz="4" w:space="0" w:color="auto"/>
              <w:left w:val="single" w:sz="4" w:space="0" w:color="auto"/>
              <w:bottom w:val="single" w:sz="4" w:space="0" w:color="auto"/>
              <w:right w:val="single" w:sz="4" w:space="0" w:color="auto"/>
            </w:tcBorders>
            <w:shd w:val="clear" w:color="auto" w:fill="FFFFFF"/>
          </w:tcPr>
          <w:p w:rsidR="009C65F6" w:rsidRPr="00C25C03" w:rsidRDefault="009C65F6" w:rsidP="00C25C03">
            <w:pPr>
              <w:ind w:right="126"/>
              <w:jc w:val="center"/>
              <w:rPr>
                <w:b/>
                <w:bCs/>
              </w:rPr>
            </w:pPr>
          </w:p>
        </w:tc>
      </w:tr>
      <w:tr w:rsidR="009C65F6" w:rsidRPr="001528C2" w:rsidTr="001E5B1B">
        <w:tc>
          <w:tcPr>
            <w:tcW w:w="2164" w:type="dxa"/>
            <w:tcBorders>
              <w:top w:val="single" w:sz="4" w:space="0" w:color="auto"/>
              <w:left w:val="single" w:sz="4" w:space="0" w:color="auto"/>
              <w:bottom w:val="single" w:sz="4" w:space="0" w:color="auto"/>
              <w:right w:val="single" w:sz="4" w:space="0" w:color="auto"/>
            </w:tcBorders>
          </w:tcPr>
          <w:p w:rsidR="009C65F6" w:rsidRPr="00C25C03" w:rsidRDefault="009C65F6" w:rsidP="00C25C03">
            <w:pPr>
              <w:ind w:right="126"/>
              <w:jc w:val="center"/>
            </w:pPr>
            <w:r w:rsidRPr="00C25C03">
              <w:t>Vincoli e limitazioni</w:t>
            </w:r>
          </w:p>
        </w:tc>
        <w:tc>
          <w:tcPr>
            <w:tcW w:w="8276" w:type="dxa"/>
            <w:tcBorders>
              <w:top w:val="single" w:sz="4" w:space="0" w:color="auto"/>
              <w:left w:val="single" w:sz="4" w:space="0" w:color="auto"/>
              <w:bottom w:val="single" w:sz="4" w:space="0" w:color="auto"/>
              <w:right w:val="single" w:sz="4" w:space="0" w:color="auto"/>
            </w:tcBorders>
          </w:tcPr>
          <w:p w:rsidR="009C65F6" w:rsidRPr="002868B1" w:rsidRDefault="009C65F6" w:rsidP="00C25C03">
            <w:pPr>
              <w:ind w:right="126"/>
              <w:jc w:val="both"/>
            </w:pPr>
            <w:r w:rsidRPr="00C25C03">
              <w:t xml:space="preserve"> Il sostegno per i costi di esercizio e animazione di cui al paragrafo 1, lettere d) e e) </w:t>
            </w:r>
            <w:r w:rsidRPr="007A1BF3">
              <w:t>del</w:t>
            </w:r>
            <w:r w:rsidRPr="001659CF">
              <w:t>l’art. 35 del Reg. (UE) n. 1303</w:t>
            </w:r>
            <w:r w:rsidRPr="00D40C55">
              <w:t>/2013</w:t>
            </w:r>
            <w:r w:rsidRPr="002868B1">
              <w:t xml:space="preserve"> non supera il 25 % della spesa pubblica complessiva sostenuta nell'ambito della strategia di sviluppo locale di tipo partecipativo. Tuttavia, l’Autorità di gestione può stabilire limiti inferiori. </w:t>
            </w:r>
          </w:p>
          <w:p w:rsidR="009C65F6" w:rsidRDefault="009C65F6" w:rsidP="007A1BF3">
            <w:pPr>
              <w:ind w:right="126"/>
              <w:jc w:val="both"/>
            </w:pPr>
            <w:r w:rsidRPr="002868B1">
              <w:t>Non sono ammissibi</w:t>
            </w:r>
            <w:r w:rsidRPr="00F835AC">
              <w:t xml:space="preserve">li </w:t>
            </w:r>
            <w:r w:rsidRPr="00F835AC">
              <w:rPr>
                <w:iCs/>
              </w:rPr>
              <w:t xml:space="preserve">interessi passivi, né il costo delle </w:t>
            </w:r>
            <w:r w:rsidRPr="005479C5">
              <w:t>polizze volte ad assicurare gli amministratori e/o dipendenti per i danni eventualmente arrecati ai terzi (beneficiari, pubblica amministrazione, ecc.)</w:t>
            </w:r>
            <w:r w:rsidRPr="005479C5">
              <w:rPr>
                <w:iCs/>
              </w:rPr>
              <w:t>.</w:t>
            </w:r>
            <w:r w:rsidRPr="00A07F43">
              <w:rPr>
                <w:i/>
                <w:iCs/>
              </w:rPr>
              <w:t xml:space="preserve"> </w:t>
            </w:r>
            <w:r w:rsidRPr="00A07F43">
              <w:t>Ammende, penali finanziarie e spese per controversie legali non</w:t>
            </w:r>
            <w:r w:rsidRPr="002403C1">
              <w:t xml:space="preserve"> sono ammissibili. L’iva non recuperabile è ammessa se realmente e definitivamente sostenuta dal GAL.</w:t>
            </w:r>
          </w:p>
          <w:p w:rsidR="00E07B7E" w:rsidRPr="00E07B7E" w:rsidRDefault="00E07B7E" w:rsidP="007A1BF3">
            <w:pPr>
              <w:ind w:right="126"/>
              <w:jc w:val="both"/>
            </w:pPr>
          </w:p>
          <w:p w:rsidR="00E07B7E" w:rsidRPr="00E07B7E" w:rsidRDefault="00E07B7E" w:rsidP="007A1BF3">
            <w:pPr>
              <w:ind w:right="126"/>
              <w:jc w:val="both"/>
            </w:pPr>
            <w:r w:rsidRPr="00E07B7E">
              <w:t xml:space="preserve">L’art. 42 del Reg. (UE) n. 1305/2013, prevede che i gruppi di azione locale possono chiedere al competente organismo pagatore il versamento di un anticipo </w:t>
            </w:r>
            <w:r w:rsidRPr="00E07B7E">
              <w:lastRenderedPageBreak/>
              <w:t>se tale possibilità è prevista nel programma di sviluppo rurale. L'importo dell'anticipo è limitato al 50 % del contributo pubblico alle spese di gestione e di animazione</w:t>
            </w:r>
            <w:r>
              <w:t>.</w:t>
            </w:r>
          </w:p>
          <w:p w:rsidR="007A088B" w:rsidRPr="00C25C03" w:rsidRDefault="007A088B" w:rsidP="007A1BF3">
            <w:pPr>
              <w:ind w:right="126"/>
              <w:jc w:val="both"/>
            </w:pPr>
          </w:p>
        </w:tc>
      </w:tr>
      <w:tr w:rsidR="009C65F6" w:rsidTr="001E5B1B">
        <w:tc>
          <w:tcPr>
            <w:tcW w:w="10440" w:type="dxa"/>
            <w:gridSpan w:val="2"/>
            <w:tcBorders>
              <w:top w:val="single" w:sz="4" w:space="0" w:color="auto"/>
              <w:left w:val="single" w:sz="4" w:space="0" w:color="auto"/>
              <w:bottom w:val="single" w:sz="4" w:space="0" w:color="auto"/>
              <w:right w:val="single" w:sz="4" w:space="0" w:color="auto"/>
            </w:tcBorders>
          </w:tcPr>
          <w:p w:rsidR="009C65F6" w:rsidRPr="00C25C03" w:rsidRDefault="009C65F6" w:rsidP="00C25C03">
            <w:pPr>
              <w:ind w:right="126"/>
              <w:jc w:val="center"/>
            </w:pPr>
            <w:r w:rsidRPr="00C25C03">
              <w:rPr>
                <w:b/>
                <w:bCs/>
              </w:rPr>
              <w:lastRenderedPageBreak/>
              <w:t>Gestione dell'attuazione della strategia di sviluppo locale di tipo partecipativo</w:t>
            </w:r>
          </w:p>
        </w:tc>
      </w:tr>
      <w:tr w:rsidR="009C65F6" w:rsidRPr="001528C2" w:rsidTr="001E5B1B">
        <w:tc>
          <w:tcPr>
            <w:tcW w:w="2164" w:type="dxa"/>
            <w:tcBorders>
              <w:top w:val="single" w:sz="4" w:space="0" w:color="auto"/>
              <w:left w:val="single" w:sz="4" w:space="0" w:color="auto"/>
              <w:bottom w:val="single" w:sz="4" w:space="0" w:color="auto"/>
              <w:right w:val="single" w:sz="4" w:space="0" w:color="auto"/>
            </w:tcBorders>
          </w:tcPr>
          <w:p w:rsidR="009C65F6" w:rsidRPr="00C25C03" w:rsidRDefault="009C65F6" w:rsidP="00C25C03">
            <w:pPr>
              <w:ind w:right="126"/>
              <w:jc w:val="center"/>
            </w:pPr>
            <w:r w:rsidRPr="00C25C03">
              <w:t>Categorie di spesa eleggibili</w:t>
            </w:r>
          </w:p>
          <w:p w:rsidR="009C65F6" w:rsidRPr="007A1BF3" w:rsidRDefault="009C65F6" w:rsidP="007A1BF3">
            <w:pPr>
              <w:ind w:right="126"/>
              <w:jc w:val="center"/>
            </w:pPr>
          </w:p>
        </w:tc>
        <w:tc>
          <w:tcPr>
            <w:tcW w:w="8276" w:type="dxa"/>
            <w:tcBorders>
              <w:top w:val="single" w:sz="4" w:space="0" w:color="auto"/>
              <w:left w:val="single" w:sz="4" w:space="0" w:color="auto"/>
              <w:bottom w:val="single" w:sz="4" w:space="0" w:color="auto"/>
              <w:right w:val="single" w:sz="4" w:space="0" w:color="auto"/>
            </w:tcBorders>
            <w:shd w:val="clear" w:color="auto" w:fill="auto"/>
          </w:tcPr>
          <w:p w:rsidR="009C65F6" w:rsidRPr="00F835AC" w:rsidRDefault="009C65F6" w:rsidP="00D40C55">
            <w:pPr>
              <w:ind w:right="126"/>
            </w:pPr>
            <w:r w:rsidRPr="00D40C55">
              <w:t xml:space="preserve">Sono ammissibili </w:t>
            </w:r>
            <w:r w:rsidRPr="002868B1">
              <w:t>ai sensi dell’art. 35, par. 1, lettera d) del Reg. (UE) 1303/2013i costi di esercizio connessi alla gestione dell'attuazione della strategia di sviluppo locale di tipo partecipativo consistenti in costi operativi, costi per il personale, costi di formazione, costi relativi alle pubbliche relazioni, costi finanziari nonché costi connessi alla sorveglianza e alla valutazione di detta strategia di cui all'articolo 34, paragrafo 3, lettera g), Reg. (UE) n. 1303</w:t>
            </w:r>
            <w:r w:rsidRPr="00F835AC">
              <w:t xml:space="preserve">/2013), comprensive in particolare, delle spese connesse: </w:t>
            </w:r>
          </w:p>
          <w:p w:rsidR="009C65F6" w:rsidRPr="00C25C03" w:rsidRDefault="009C65F6" w:rsidP="002868B1">
            <w:pPr>
              <w:numPr>
                <w:ilvl w:val="0"/>
                <w:numId w:val="17"/>
              </w:numPr>
              <w:tabs>
                <w:tab w:val="num" w:pos="432"/>
              </w:tabs>
              <w:ind w:right="126"/>
              <w:jc w:val="both"/>
            </w:pPr>
            <w:r w:rsidRPr="00F835AC">
              <w:t>alla progettazione degli interventi legati alla strategia integrata di sviluppo locale</w:t>
            </w:r>
            <w:r w:rsidRPr="00C25C03">
              <w:t>;</w:t>
            </w:r>
          </w:p>
          <w:p w:rsidR="009C65F6" w:rsidRPr="00C25C03" w:rsidRDefault="009C65F6" w:rsidP="002868B1">
            <w:pPr>
              <w:numPr>
                <w:ilvl w:val="0"/>
                <w:numId w:val="17"/>
              </w:numPr>
              <w:tabs>
                <w:tab w:val="num" w:pos="432"/>
              </w:tabs>
              <w:ind w:right="126"/>
              <w:jc w:val="both"/>
            </w:pPr>
            <w:r w:rsidRPr="00C25C03">
              <w:t>al regolare funzionamento del partenariato;</w:t>
            </w:r>
          </w:p>
          <w:p w:rsidR="009C65F6" w:rsidRPr="002868B1" w:rsidRDefault="009C65F6" w:rsidP="00F835AC">
            <w:pPr>
              <w:numPr>
                <w:ilvl w:val="0"/>
                <w:numId w:val="17"/>
              </w:numPr>
              <w:tabs>
                <w:tab w:val="num" w:pos="432"/>
              </w:tabs>
              <w:ind w:right="126"/>
              <w:jc w:val="both"/>
            </w:pPr>
            <w:r w:rsidRPr="007A1BF3">
              <w:t xml:space="preserve">al </w:t>
            </w:r>
            <w:r w:rsidRPr="00D40C55">
              <w:t>regolare funzionamento delle strutture tecnico-operative ed amministrative</w:t>
            </w:r>
            <w:r w:rsidRPr="002868B1">
              <w:t xml:space="preserve"> ivi inclusi gli adempimenti richiesti dall’Autorità di Gestione, dall’Organismo Pagatore e da altri organismi di controllo, in relazione al ruolo svolto nell’implementazione dell’approccio Leader; </w:t>
            </w:r>
          </w:p>
          <w:p w:rsidR="009C65F6" w:rsidRPr="00F835AC" w:rsidRDefault="009C65F6" w:rsidP="00F835AC">
            <w:pPr>
              <w:numPr>
                <w:ilvl w:val="0"/>
                <w:numId w:val="17"/>
              </w:numPr>
              <w:tabs>
                <w:tab w:val="num" w:pos="432"/>
              </w:tabs>
              <w:ind w:right="126"/>
              <w:jc w:val="both"/>
            </w:pPr>
            <w:r w:rsidRPr="002868B1">
              <w:t>agli adempimenti di natura contabile, ammini</w:t>
            </w:r>
            <w:r w:rsidRPr="00F835AC">
              <w:t>strativa, fiscale e previdenziale previsti dalla normativa vigente;</w:t>
            </w:r>
          </w:p>
          <w:p w:rsidR="009C65F6" w:rsidRPr="00F835AC" w:rsidRDefault="009C65F6" w:rsidP="005479C5">
            <w:pPr>
              <w:numPr>
                <w:ilvl w:val="0"/>
                <w:numId w:val="17"/>
              </w:numPr>
              <w:tabs>
                <w:tab w:val="num" w:pos="432"/>
              </w:tabs>
              <w:ind w:right="126"/>
              <w:jc w:val="both"/>
            </w:pPr>
            <w:r w:rsidRPr="00F835AC">
              <w:t xml:space="preserve">alla gestione finanziaria connessa all’attuazione dell’approccio Leader (spese bancarie, ecc.); </w:t>
            </w:r>
          </w:p>
          <w:p w:rsidR="009C65F6" w:rsidRPr="005479C5" w:rsidRDefault="009C65F6" w:rsidP="005479C5">
            <w:pPr>
              <w:numPr>
                <w:ilvl w:val="0"/>
                <w:numId w:val="17"/>
              </w:numPr>
              <w:tabs>
                <w:tab w:val="num" w:pos="432"/>
              </w:tabs>
              <w:ind w:right="126"/>
              <w:jc w:val="both"/>
            </w:pPr>
            <w:r w:rsidRPr="005479C5">
              <w:t>alla selezione di fornitori e beneficiari, nonché alla esecuzione delle attività di controllo, monitoraggio e valutazione di competenza del GAL;</w:t>
            </w:r>
          </w:p>
          <w:p w:rsidR="009C65F6" w:rsidRPr="00A07F43" w:rsidRDefault="009C65F6" w:rsidP="00A07F43">
            <w:pPr>
              <w:numPr>
                <w:ilvl w:val="0"/>
                <w:numId w:val="17"/>
              </w:numPr>
              <w:tabs>
                <w:tab w:val="num" w:pos="432"/>
              </w:tabs>
              <w:ind w:right="126"/>
              <w:jc w:val="both"/>
            </w:pPr>
            <w:r w:rsidRPr="00A07F43">
              <w:t>agli obblighi di informazione, pubblicità e trasparenza (elaborazione e pubblicazione di bandi ed avvisi pubblici, targhe informative obbligatorie come previsto in materia di informazione e pubblicità – art. 13 del Reg. di esecuzione (UE) n. 808/2014, ivi compresa la creazione e sviluppo del sito web del GAL, la redazione e pubblicazione di articoli e redazionali;</w:t>
            </w:r>
          </w:p>
          <w:p w:rsidR="009C65F6" w:rsidRPr="002403C1" w:rsidRDefault="009C65F6" w:rsidP="00A07F43">
            <w:pPr>
              <w:numPr>
                <w:ilvl w:val="0"/>
                <w:numId w:val="17"/>
              </w:numPr>
              <w:tabs>
                <w:tab w:val="num" w:pos="432"/>
              </w:tabs>
              <w:ind w:right="126"/>
              <w:jc w:val="both"/>
            </w:pPr>
            <w:r w:rsidRPr="002403C1">
              <w:t>alla partecipazione del personale del GAL (dipendenti, collaboratori, consulenti, rappresentanti dell’Organo decisionale) ad eventi (seminari, convegni, workshop, gruppi di lavoro tematici, ecc.) connessi alle strategie di sviluppo locale;</w:t>
            </w:r>
          </w:p>
          <w:p w:rsidR="009C65F6" w:rsidRPr="00637A02" w:rsidRDefault="009C65F6" w:rsidP="002403C1">
            <w:pPr>
              <w:numPr>
                <w:ilvl w:val="0"/>
                <w:numId w:val="17"/>
              </w:numPr>
              <w:ind w:right="126"/>
              <w:jc w:val="both"/>
            </w:pPr>
            <w:r w:rsidRPr="00BE6EB6">
              <w:t>all’organizzazione di attività di informazione e pubblicità sviluppate a livello locale (campagne di inform</w:t>
            </w:r>
            <w:r w:rsidRPr="00637A02">
              <w:t xml:space="preserve">azione, pubblicazioni cartacee, digitali, ecc.), e legate all’implementazione delle strategie di sviluppo locale. </w:t>
            </w:r>
          </w:p>
          <w:p w:rsidR="009C65F6" w:rsidRPr="00CD4CD8" w:rsidRDefault="009C65F6" w:rsidP="002403C1">
            <w:pPr>
              <w:ind w:left="377" w:right="126"/>
              <w:jc w:val="both"/>
            </w:pPr>
          </w:p>
          <w:p w:rsidR="009C65F6" w:rsidRPr="002D3F88" w:rsidRDefault="009C65F6" w:rsidP="00BE6EB6">
            <w:pPr>
              <w:ind w:right="126"/>
              <w:jc w:val="both"/>
            </w:pPr>
            <w:r w:rsidRPr="002D3F88">
              <w:t>In relazione alle finalità sopra elencate, sono ammissibili le seguenti voci di costo:</w:t>
            </w:r>
          </w:p>
          <w:p w:rsidR="009C65F6" w:rsidRPr="00454E51" w:rsidRDefault="009C65F6" w:rsidP="00637A02">
            <w:pPr>
              <w:numPr>
                <w:ilvl w:val="0"/>
                <w:numId w:val="17"/>
              </w:numPr>
              <w:tabs>
                <w:tab w:val="num" w:pos="432"/>
              </w:tabs>
              <w:ind w:right="126"/>
              <w:jc w:val="both"/>
            </w:pPr>
            <w:r w:rsidRPr="00454E51">
              <w:t>personale dipendente a tempo determinato o indeterminato</w:t>
            </w:r>
            <w:r w:rsidR="009D6265">
              <w:t>, comprensivo di TFR</w:t>
            </w:r>
            <w:r w:rsidRPr="00454E51">
              <w:t>;</w:t>
            </w:r>
          </w:p>
          <w:p w:rsidR="009C65F6" w:rsidRPr="00557140" w:rsidRDefault="009C65F6" w:rsidP="00CD4CD8">
            <w:pPr>
              <w:numPr>
                <w:ilvl w:val="0"/>
                <w:numId w:val="17"/>
              </w:numPr>
              <w:tabs>
                <w:tab w:val="num" w:pos="432"/>
              </w:tabs>
              <w:ind w:right="126"/>
              <w:jc w:val="both"/>
            </w:pPr>
            <w:r w:rsidRPr="00557140">
              <w:t>collaborazioni a progetto o occasionali, consulenze specialistiche e professionali;</w:t>
            </w:r>
          </w:p>
          <w:p w:rsidR="009C65F6" w:rsidRPr="000F67D7" w:rsidRDefault="009C65F6" w:rsidP="002D3F88">
            <w:pPr>
              <w:numPr>
                <w:ilvl w:val="0"/>
                <w:numId w:val="17"/>
              </w:numPr>
              <w:tabs>
                <w:tab w:val="num" w:pos="432"/>
              </w:tabs>
              <w:ind w:right="126"/>
              <w:jc w:val="both"/>
            </w:pPr>
            <w:r w:rsidRPr="000F67D7">
              <w:t>acquisizioni di servizi specialistici;</w:t>
            </w:r>
          </w:p>
          <w:p w:rsidR="009C65F6" w:rsidRPr="00935929" w:rsidRDefault="009C65F6" w:rsidP="00454E51">
            <w:pPr>
              <w:numPr>
                <w:ilvl w:val="0"/>
                <w:numId w:val="17"/>
              </w:numPr>
              <w:ind w:right="126"/>
              <w:jc w:val="both"/>
            </w:pPr>
            <w:r w:rsidRPr="00935929">
              <w:t>redazione di studi e analisi, indagini sul territorio, finalizzati alla redazione e modifica delle strategie di sviluppo locale;</w:t>
            </w:r>
          </w:p>
          <w:p w:rsidR="009C65F6" w:rsidRPr="0035585A" w:rsidRDefault="009C65F6" w:rsidP="00454E51">
            <w:pPr>
              <w:numPr>
                <w:ilvl w:val="0"/>
                <w:numId w:val="17"/>
              </w:numPr>
              <w:tabs>
                <w:tab w:val="num" w:pos="432"/>
              </w:tabs>
              <w:ind w:right="126"/>
              <w:jc w:val="both"/>
            </w:pPr>
            <w:r w:rsidRPr="00072D75">
              <w:t xml:space="preserve">missioni e rimborsi spesa per trasferte, anche all’estero, purché debitamente giustificate e oggettivamente legate alle attività da </w:t>
            </w:r>
            <w:r w:rsidRPr="0035585A">
              <w:t>svolgere;</w:t>
            </w:r>
          </w:p>
          <w:p w:rsidR="009C65F6" w:rsidRPr="00C25C03" w:rsidRDefault="009C65F6" w:rsidP="00557140">
            <w:pPr>
              <w:numPr>
                <w:ilvl w:val="0"/>
                <w:numId w:val="17"/>
              </w:numPr>
              <w:tabs>
                <w:tab w:val="num" w:pos="432"/>
              </w:tabs>
              <w:ind w:right="126"/>
              <w:jc w:val="both"/>
            </w:pPr>
            <w:r w:rsidRPr="00C25C03">
              <w:t>compensi, gettoni di presenza e rimborsi spese di eventuali organismi societari o associativi nei limiti previsti dalla normativa vigente;</w:t>
            </w:r>
          </w:p>
          <w:p w:rsidR="009C65F6" w:rsidRPr="00C25C03" w:rsidRDefault="009C65F6" w:rsidP="000F67D7">
            <w:pPr>
              <w:numPr>
                <w:ilvl w:val="0"/>
                <w:numId w:val="17"/>
              </w:numPr>
              <w:tabs>
                <w:tab w:val="num" w:pos="432"/>
              </w:tabs>
              <w:ind w:right="126"/>
              <w:jc w:val="both"/>
            </w:pPr>
            <w:r w:rsidRPr="00C25C03">
              <w:lastRenderedPageBreak/>
              <w:t>acquisto o noleggio di arredi, attrezzature e dotazioni da ufficio, hardware &amp; software;</w:t>
            </w:r>
          </w:p>
          <w:p w:rsidR="009C65F6" w:rsidRPr="00C25C03" w:rsidRDefault="009C65F6" w:rsidP="00935929">
            <w:pPr>
              <w:numPr>
                <w:ilvl w:val="0"/>
                <w:numId w:val="17"/>
              </w:numPr>
              <w:tabs>
                <w:tab w:val="num" w:pos="432"/>
              </w:tabs>
              <w:ind w:right="126"/>
              <w:jc w:val="both"/>
            </w:pPr>
            <w:r w:rsidRPr="00C25C03">
              <w:t>spese correnti (affitto di locali, utenze energetiche, idriche e telefoniche, collegamenti telematici, materiale di consumo, manutenzione ordinaria, pulizie, valori bollati, spese postali, cancelleria e stampati, pubblicazioni, ecc.);</w:t>
            </w:r>
          </w:p>
          <w:p w:rsidR="009C65F6" w:rsidRPr="00C25C03" w:rsidRDefault="009C65F6" w:rsidP="00072D75">
            <w:pPr>
              <w:numPr>
                <w:ilvl w:val="0"/>
                <w:numId w:val="17"/>
              </w:numPr>
              <w:tabs>
                <w:tab w:val="num" w:pos="432"/>
              </w:tabs>
              <w:ind w:right="126"/>
              <w:jc w:val="both"/>
            </w:pPr>
            <w:r w:rsidRPr="00C25C03">
              <w:t>quote associative (limitatamente ad associazioni tra GAL e/o altri organismi operanti nello sviluppo rurale);</w:t>
            </w:r>
          </w:p>
          <w:p w:rsidR="009C65F6" w:rsidRPr="00C25C03" w:rsidRDefault="009C65F6" w:rsidP="0035585A">
            <w:pPr>
              <w:numPr>
                <w:ilvl w:val="0"/>
                <w:numId w:val="17"/>
              </w:numPr>
              <w:tabs>
                <w:tab w:val="num" w:pos="432"/>
              </w:tabs>
              <w:ind w:right="126"/>
              <w:jc w:val="both"/>
            </w:pPr>
            <w:r w:rsidRPr="00C25C03">
              <w:t>spese societarie (costituzione e relative modifiche, registrazione, variazioni statutarie, diritti camerali, notarili, ecc.);</w:t>
            </w:r>
          </w:p>
          <w:p w:rsidR="009C65F6" w:rsidRPr="00C25C03" w:rsidRDefault="009C65F6" w:rsidP="00C25C03">
            <w:pPr>
              <w:numPr>
                <w:ilvl w:val="0"/>
                <w:numId w:val="17"/>
              </w:numPr>
              <w:tabs>
                <w:tab w:val="num" w:pos="432"/>
              </w:tabs>
              <w:ind w:right="126"/>
              <w:jc w:val="both"/>
            </w:pPr>
            <w:r w:rsidRPr="00C25C03">
              <w:t>spese bancarie ed assicurative (fideiussioni, apertura e gestione del conto corrente dedicato, servizi di tesoreria e cassa, ecc.);</w:t>
            </w:r>
          </w:p>
          <w:p w:rsidR="009C65F6" w:rsidRPr="00C25C03" w:rsidRDefault="009C65F6" w:rsidP="00C25C03">
            <w:pPr>
              <w:numPr>
                <w:ilvl w:val="0"/>
                <w:numId w:val="17"/>
              </w:numPr>
              <w:ind w:right="126"/>
              <w:jc w:val="both"/>
            </w:pPr>
            <w:r w:rsidRPr="00C25C03">
              <w:t>oneri fiscali, sociali e previdenziali;</w:t>
            </w:r>
          </w:p>
          <w:p w:rsidR="009C65F6" w:rsidRPr="00C25C03" w:rsidRDefault="009C65F6" w:rsidP="00C25C03">
            <w:pPr>
              <w:numPr>
                <w:ilvl w:val="0"/>
                <w:numId w:val="17"/>
              </w:numPr>
              <w:tabs>
                <w:tab w:val="num" w:pos="432"/>
              </w:tabs>
              <w:ind w:right="126"/>
              <w:jc w:val="both"/>
            </w:pPr>
            <w:r w:rsidRPr="00C25C03">
              <w:t>imposte, tasse, nel limite in cui non siano recuperabili dal beneficiario.</w:t>
            </w:r>
          </w:p>
        </w:tc>
      </w:tr>
      <w:tr w:rsidR="009C65F6" w:rsidRPr="001528C2" w:rsidTr="001E5B1B">
        <w:tc>
          <w:tcPr>
            <w:tcW w:w="10440" w:type="dxa"/>
            <w:gridSpan w:val="2"/>
            <w:tcBorders>
              <w:top w:val="single" w:sz="4" w:space="0" w:color="auto"/>
              <w:left w:val="single" w:sz="4" w:space="0" w:color="auto"/>
              <w:bottom w:val="single" w:sz="4" w:space="0" w:color="auto"/>
              <w:right w:val="single" w:sz="4" w:space="0" w:color="auto"/>
            </w:tcBorders>
          </w:tcPr>
          <w:p w:rsidR="009C65F6" w:rsidRPr="00C25C03" w:rsidRDefault="009C65F6" w:rsidP="00C25C03">
            <w:pPr>
              <w:ind w:right="126"/>
              <w:jc w:val="center"/>
              <w:rPr>
                <w:b/>
                <w:bCs/>
              </w:rPr>
            </w:pPr>
            <w:r w:rsidRPr="00C25C03">
              <w:lastRenderedPageBreak/>
              <w:t xml:space="preserve"> </w:t>
            </w:r>
            <w:r w:rsidRPr="00C25C03">
              <w:rPr>
                <w:b/>
                <w:bCs/>
              </w:rPr>
              <w:t>Animazione della strategia di sviluppo locale di tipo partecipativo</w:t>
            </w:r>
          </w:p>
        </w:tc>
      </w:tr>
      <w:tr w:rsidR="009C65F6" w:rsidRPr="001528C2" w:rsidTr="001E5B1B">
        <w:tc>
          <w:tcPr>
            <w:tcW w:w="2164" w:type="dxa"/>
            <w:tcBorders>
              <w:top w:val="single" w:sz="4" w:space="0" w:color="auto"/>
              <w:left w:val="single" w:sz="4" w:space="0" w:color="auto"/>
              <w:bottom w:val="single" w:sz="4" w:space="0" w:color="auto"/>
              <w:right w:val="single" w:sz="4" w:space="0" w:color="auto"/>
            </w:tcBorders>
          </w:tcPr>
          <w:p w:rsidR="009C65F6" w:rsidRPr="00C25C03" w:rsidRDefault="009C65F6" w:rsidP="00C25C03">
            <w:pPr>
              <w:ind w:right="126"/>
              <w:jc w:val="center"/>
            </w:pPr>
            <w:r w:rsidRPr="00C25C03">
              <w:t>Categorie di spesa eleggibili</w:t>
            </w:r>
          </w:p>
          <w:p w:rsidR="009C65F6" w:rsidRPr="007A1BF3" w:rsidRDefault="009C65F6" w:rsidP="007A1BF3">
            <w:pPr>
              <w:ind w:right="126"/>
              <w:jc w:val="center"/>
            </w:pPr>
          </w:p>
        </w:tc>
        <w:tc>
          <w:tcPr>
            <w:tcW w:w="8276" w:type="dxa"/>
            <w:tcBorders>
              <w:top w:val="single" w:sz="4" w:space="0" w:color="auto"/>
              <w:left w:val="single" w:sz="4" w:space="0" w:color="auto"/>
              <w:bottom w:val="single" w:sz="4" w:space="0" w:color="auto"/>
              <w:right w:val="single" w:sz="4" w:space="0" w:color="auto"/>
            </w:tcBorders>
          </w:tcPr>
          <w:p w:rsidR="009C65F6" w:rsidRPr="002868B1" w:rsidRDefault="009C65F6" w:rsidP="00D40C55">
            <w:pPr>
              <w:ind w:right="126"/>
            </w:pPr>
            <w:r w:rsidRPr="00D40C55">
              <w:t>L’</w:t>
            </w:r>
            <w:r w:rsidRPr="002868B1">
              <w:t>animazione sul territorio per agevolare gli scambi tra le parti interessate intesi a fornire informazioni e promuovere la strategia e per aiutare i potenziali beneficiari a sviluppare le operazioni e a preparare le domande, ai sensi dell’art. 35, par. 1, lettera e) del Reg. (UE) 1303/2013, comprende le attività finalizzate:</w:t>
            </w:r>
          </w:p>
          <w:p w:rsidR="009C65F6" w:rsidRPr="00C25C03" w:rsidRDefault="009C65F6" w:rsidP="002868B1">
            <w:pPr>
              <w:numPr>
                <w:ilvl w:val="0"/>
                <w:numId w:val="17"/>
              </w:numPr>
              <w:tabs>
                <w:tab w:val="num" w:pos="432"/>
              </w:tabs>
              <w:ind w:right="126"/>
              <w:jc w:val="both"/>
            </w:pPr>
            <w:r w:rsidRPr="00F835AC">
              <w:t>all’acquisto e/o alla realizzazione ed alla divulgazione di studi, ricerche e materiale informativo sulla zona interessata (pubblicazioni cartacee e digitali, banche dati, ecc.)</w:t>
            </w:r>
            <w:r w:rsidRPr="00C25C03">
              <w:t>;</w:t>
            </w:r>
          </w:p>
          <w:p w:rsidR="009C65F6" w:rsidRPr="00C25C03" w:rsidRDefault="009C65F6" w:rsidP="002868B1">
            <w:pPr>
              <w:numPr>
                <w:ilvl w:val="0"/>
                <w:numId w:val="17"/>
              </w:numPr>
              <w:tabs>
                <w:tab w:val="num" w:pos="432"/>
              </w:tabs>
              <w:ind w:right="126"/>
              <w:jc w:val="both"/>
            </w:pPr>
            <w:r w:rsidRPr="00C25C03">
              <w:t>all’informazione sulla zona e sulla strategia di sviluppo locale;</w:t>
            </w:r>
          </w:p>
          <w:p w:rsidR="009C65F6" w:rsidRPr="002868B1" w:rsidRDefault="009C65F6" w:rsidP="00F835AC">
            <w:pPr>
              <w:numPr>
                <w:ilvl w:val="0"/>
                <w:numId w:val="17"/>
              </w:numPr>
              <w:tabs>
                <w:tab w:val="num" w:pos="432"/>
              </w:tabs>
              <w:ind w:right="126"/>
              <w:jc w:val="both"/>
            </w:pPr>
            <w:r w:rsidRPr="007A1BF3">
              <w:t>alla formazione del personale del GAL (dipenden</w:t>
            </w:r>
            <w:r w:rsidRPr="00D40C55">
              <w:t>ti, collaboratori, consulenti, rappresentanti dei partner) addetto all'elaborazione e all'esecuzione della strategia di sviluppo locale;</w:t>
            </w:r>
          </w:p>
          <w:p w:rsidR="009C65F6" w:rsidRPr="002868B1" w:rsidRDefault="009C65F6" w:rsidP="00F835AC">
            <w:pPr>
              <w:numPr>
                <w:ilvl w:val="0"/>
                <w:numId w:val="17"/>
              </w:numPr>
              <w:tabs>
                <w:tab w:val="num" w:pos="432"/>
              </w:tabs>
              <w:ind w:right="126"/>
              <w:jc w:val="both"/>
            </w:pPr>
            <w:r w:rsidRPr="002868B1">
              <w:t>alla organizzazione e realizzazione di eventi promozionali promossi a livello locale;</w:t>
            </w:r>
          </w:p>
          <w:p w:rsidR="009C65F6" w:rsidRPr="00F835AC" w:rsidRDefault="009C65F6" w:rsidP="005479C5">
            <w:pPr>
              <w:numPr>
                <w:ilvl w:val="0"/>
                <w:numId w:val="17"/>
              </w:numPr>
              <w:tabs>
                <w:tab w:val="num" w:pos="432"/>
              </w:tabs>
              <w:ind w:right="126"/>
              <w:jc w:val="both"/>
            </w:pPr>
            <w:r w:rsidRPr="00F835AC">
              <w:t>alla partecipazione del personale del GAL (dipendenti, collaboratori, consulenti, rappresentanti dei partner) ad eventi formativi, seminari, convegni, workshop, gruppi di lavoro tematici, ecc.;</w:t>
            </w:r>
          </w:p>
          <w:p w:rsidR="009C65F6" w:rsidRPr="005479C5" w:rsidRDefault="009C65F6" w:rsidP="005479C5">
            <w:pPr>
              <w:numPr>
                <w:ilvl w:val="0"/>
                <w:numId w:val="17"/>
              </w:numPr>
              <w:tabs>
                <w:tab w:val="num" w:pos="432"/>
              </w:tabs>
              <w:ind w:right="126"/>
              <w:jc w:val="both"/>
            </w:pPr>
            <w:r w:rsidRPr="005479C5">
              <w:t>alla realizzazione e aggiornamento siti internet.</w:t>
            </w:r>
          </w:p>
          <w:p w:rsidR="009C65F6" w:rsidRPr="005479C5" w:rsidRDefault="009C65F6" w:rsidP="00A07F43">
            <w:pPr>
              <w:ind w:left="377" w:right="126"/>
              <w:jc w:val="both"/>
            </w:pPr>
          </w:p>
          <w:p w:rsidR="009C65F6" w:rsidRPr="00A07F43" w:rsidRDefault="009C65F6" w:rsidP="00A07F43">
            <w:pPr>
              <w:ind w:right="126"/>
              <w:jc w:val="both"/>
            </w:pPr>
            <w:r w:rsidRPr="00A07F43">
              <w:t>In relazione alle finalità sopra elencate, sono ammissibili le seguenti voci di costo:</w:t>
            </w:r>
          </w:p>
          <w:p w:rsidR="009C65F6" w:rsidRPr="002403C1" w:rsidRDefault="009C65F6" w:rsidP="002403C1">
            <w:pPr>
              <w:numPr>
                <w:ilvl w:val="0"/>
                <w:numId w:val="17"/>
              </w:numPr>
              <w:tabs>
                <w:tab w:val="num" w:pos="432"/>
              </w:tabs>
              <w:ind w:right="126"/>
              <w:jc w:val="both"/>
            </w:pPr>
            <w:r w:rsidRPr="002403C1">
              <w:t>personale dipendente a tempo determinato o indeterminato</w:t>
            </w:r>
            <w:r w:rsidR="009D6265">
              <w:t>, comprensivo di TFR</w:t>
            </w:r>
            <w:r w:rsidRPr="002403C1">
              <w:t>;</w:t>
            </w:r>
          </w:p>
          <w:p w:rsidR="009C65F6" w:rsidRPr="002403C1" w:rsidRDefault="009C65F6" w:rsidP="002403C1">
            <w:pPr>
              <w:numPr>
                <w:ilvl w:val="0"/>
                <w:numId w:val="17"/>
              </w:numPr>
              <w:tabs>
                <w:tab w:val="num" w:pos="432"/>
              </w:tabs>
              <w:ind w:right="126"/>
              <w:jc w:val="both"/>
            </w:pPr>
            <w:r w:rsidRPr="002403C1">
              <w:t>collaborazioni a progetto o occasionali, consulenze specialistiche e professionali;</w:t>
            </w:r>
          </w:p>
          <w:p w:rsidR="009C65F6" w:rsidRPr="00BE6EB6" w:rsidRDefault="009C65F6" w:rsidP="00BE6EB6">
            <w:pPr>
              <w:numPr>
                <w:ilvl w:val="0"/>
                <w:numId w:val="17"/>
              </w:numPr>
              <w:tabs>
                <w:tab w:val="num" w:pos="432"/>
              </w:tabs>
              <w:ind w:right="126"/>
              <w:jc w:val="both"/>
            </w:pPr>
            <w:r w:rsidRPr="00BE6EB6">
              <w:t>acquisizione di servizi specialistici;</w:t>
            </w:r>
          </w:p>
          <w:p w:rsidR="009C65F6" w:rsidRPr="00637A02" w:rsidRDefault="009C65F6" w:rsidP="00637A02">
            <w:pPr>
              <w:numPr>
                <w:ilvl w:val="0"/>
                <w:numId w:val="17"/>
              </w:numPr>
              <w:tabs>
                <w:tab w:val="num" w:pos="432"/>
              </w:tabs>
              <w:ind w:right="126"/>
              <w:jc w:val="both"/>
            </w:pPr>
            <w:r w:rsidRPr="00637A02">
              <w:t>missioni e rimborsi spesa per trasferte, anche all’estero, purché debitamente giustificate e oggettivamente legate alle attività da svolgere;</w:t>
            </w:r>
          </w:p>
          <w:p w:rsidR="009C65F6" w:rsidRPr="00CD4CD8" w:rsidRDefault="009C65F6" w:rsidP="00CD4CD8">
            <w:pPr>
              <w:numPr>
                <w:ilvl w:val="0"/>
                <w:numId w:val="17"/>
              </w:numPr>
              <w:tabs>
                <w:tab w:val="num" w:pos="432"/>
              </w:tabs>
              <w:ind w:right="126"/>
              <w:jc w:val="both"/>
            </w:pPr>
            <w:r w:rsidRPr="00CD4CD8">
              <w:t>acquisto o noleggio di arredi, attrezzature e dotazioni da ufficio, hardware &amp; software;</w:t>
            </w:r>
          </w:p>
          <w:p w:rsidR="009C65F6" w:rsidRPr="00454E51" w:rsidRDefault="009C65F6" w:rsidP="002D3F88">
            <w:pPr>
              <w:numPr>
                <w:ilvl w:val="0"/>
                <w:numId w:val="17"/>
              </w:numPr>
              <w:tabs>
                <w:tab w:val="num" w:pos="432"/>
              </w:tabs>
              <w:ind w:right="126"/>
              <w:jc w:val="both"/>
            </w:pPr>
            <w:r w:rsidRPr="002D3F88">
              <w:t>spese correnti (affitto di locali, ut</w:t>
            </w:r>
            <w:r w:rsidRPr="00454E51">
              <w:t>enze energetiche, idriche e telefoniche, collegamenti telematici, materiale di consumo, valori bollati, spese postali, cancelleria e stampati, pubblicazioni, ecc.);</w:t>
            </w:r>
          </w:p>
          <w:p w:rsidR="009C65F6" w:rsidRPr="00454E51" w:rsidRDefault="009C65F6" w:rsidP="00454E51">
            <w:pPr>
              <w:numPr>
                <w:ilvl w:val="0"/>
                <w:numId w:val="17"/>
              </w:numPr>
              <w:tabs>
                <w:tab w:val="num" w:pos="432"/>
              </w:tabs>
              <w:ind w:right="126"/>
              <w:jc w:val="both"/>
            </w:pPr>
            <w:r w:rsidRPr="00454E51">
              <w:t>oneri fiscali, sociali e previdenziali.</w:t>
            </w:r>
          </w:p>
        </w:tc>
      </w:tr>
    </w:tbl>
    <w:p w:rsidR="00ED2206" w:rsidRDefault="00ED2206" w:rsidP="00C25C03"/>
    <w:p w:rsidR="00ED2206" w:rsidRDefault="00ED2206" w:rsidP="007A1BF3"/>
    <w:p w:rsidR="00ED2206" w:rsidRDefault="00ED2206"/>
    <w:p w:rsidR="00ED2206" w:rsidRDefault="00ED2206"/>
    <w:tbl>
      <w:tblPr>
        <w:tblW w:w="10368" w:type="dxa"/>
        <w:tblLook w:val="01E0" w:firstRow="1" w:lastRow="1" w:firstColumn="1" w:lastColumn="1" w:noHBand="0" w:noVBand="0"/>
      </w:tblPr>
      <w:tblGrid>
        <w:gridCol w:w="2092"/>
        <w:gridCol w:w="8276"/>
      </w:tblGrid>
      <w:tr w:rsidR="0093755C" w:rsidRPr="003E0D1C" w:rsidTr="00ED2206">
        <w:trPr>
          <w:trHeight w:val="976"/>
        </w:trPr>
        <w:tc>
          <w:tcPr>
            <w:tcW w:w="10368" w:type="dxa"/>
            <w:gridSpan w:val="2"/>
            <w:tcBorders>
              <w:top w:val="single" w:sz="4" w:space="0" w:color="auto"/>
              <w:left w:val="single" w:sz="4" w:space="0" w:color="auto"/>
              <w:right w:val="single" w:sz="4" w:space="0" w:color="auto"/>
            </w:tcBorders>
            <w:shd w:val="clear" w:color="auto" w:fill="FFFFFF"/>
            <w:vAlign w:val="center"/>
          </w:tcPr>
          <w:p w:rsidR="0093755C" w:rsidRPr="003E0D1C" w:rsidRDefault="003E0D1C" w:rsidP="00273BE4">
            <w:pPr>
              <w:pStyle w:val="Titolo"/>
              <w:spacing w:before="120" w:after="0"/>
              <w:ind w:right="126"/>
              <w:rPr>
                <w:sz w:val="24"/>
                <w:szCs w:val="24"/>
              </w:rPr>
            </w:pPr>
            <w:bookmarkStart w:id="42" w:name="_Toc432090731"/>
            <w:r w:rsidRPr="003E0D1C">
              <w:rPr>
                <w:sz w:val="24"/>
                <w:szCs w:val="24"/>
              </w:rPr>
              <w:t>4</w:t>
            </w:r>
            <w:r w:rsidR="0093755C" w:rsidRPr="003E0D1C">
              <w:rPr>
                <w:sz w:val="24"/>
                <w:szCs w:val="24"/>
              </w:rPr>
              <w:t>- COOPERAZIONE INTERTERRITORIALE E TRANSNAZIONALE</w:t>
            </w:r>
            <w:bookmarkEnd w:id="42"/>
          </w:p>
        </w:tc>
      </w:tr>
      <w:tr w:rsidR="0093755C" w:rsidRPr="00A01342" w:rsidTr="00ED2206">
        <w:tc>
          <w:tcPr>
            <w:tcW w:w="2092" w:type="dxa"/>
            <w:tcBorders>
              <w:top w:val="single" w:sz="4" w:space="0" w:color="auto"/>
              <w:left w:val="single" w:sz="4" w:space="0" w:color="auto"/>
              <w:bottom w:val="single" w:sz="4" w:space="0" w:color="auto"/>
              <w:right w:val="single" w:sz="4" w:space="0" w:color="auto"/>
            </w:tcBorders>
            <w:shd w:val="clear" w:color="auto" w:fill="FFFFFF"/>
          </w:tcPr>
          <w:p w:rsidR="0093755C" w:rsidRPr="003E0D1C" w:rsidRDefault="0093755C" w:rsidP="00273BE4">
            <w:pPr>
              <w:spacing w:before="120"/>
              <w:ind w:right="126"/>
              <w:jc w:val="center"/>
            </w:pPr>
            <w:r w:rsidRPr="003E0D1C">
              <w:t xml:space="preserve">Riferimenti normativi </w:t>
            </w:r>
          </w:p>
        </w:tc>
        <w:tc>
          <w:tcPr>
            <w:tcW w:w="8276" w:type="dxa"/>
            <w:tcBorders>
              <w:top w:val="single" w:sz="4" w:space="0" w:color="auto"/>
              <w:left w:val="single" w:sz="4" w:space="0" w:color="auto"/>
              <w:bottom w:val="single" w:sz="4" w:space="0" w:color="auto"/>
              <w:right w:val="single" w:sz="4" w:space="0" w:color="auto"/>
            </w:tcBorders>
            <w:shd w:val="clear" w:color="auto" w:fill="FFFFFF"/>
          </w:tcPr>
          <w:p w:rsidR="00F6010A" w:rsidRPr="003E0D1C" w:rsidRDefault="00F6010A" w:rsidP="00F6010A">
            <w:pPr>
              <w:autoSpaceDE w:val="0"/>
              <w:autoSpaceDN w:val="0"/>
              <w:adjustRightInd w:val="0"/>
              <w:spacing w:before="120"/>
              <w:ind w:right="126"/>
              <w:rPr>
                <w:bCs/>
                <w:iCs/>
                <w:lang w:val="en-US"/>
              </w:rPr>
            </w:pPr>
            <w:r w:rsidRPr="003E0D1C">
              <w:rPr>
                <w:bCs/>
                <w:iCs/>
                <w:lang w:val="en-US"/>
              </w:rPr>
              <w:t>Art. 32 (2) (d) del Reg. (UE) n. 1303/13</w:t>
            </w:r>
          </w:p>
          <w:p w:rsidR="00F6010A" w:rsidRPr="003E0D1C" w:rsidRDefault="00F6010A" w:rsidP="00F6010A">
            <w:pPr>
              <w:autoSpaceDE w:val="0"/>
              <w:autoSpaceDN w:val="0"/>
              <w:adjustRightInd w:val="0"/>
              <w:spacing w:before="120"/>
              <w:ind w:right="126"/>
              <w:rPr>
                <w:bCs/>
                <w:iCs/>
                <w:lang w:val="en-US"/>
              </w:rPr>
            </w:pPr>
            <w:r w:rsidRPr="003E0D1C">
              <w:rPr>
                <w:bCs/>
                <w:iCs/>
                <w:lang w:val="en-US"/>
              </w:rPr>
              <w:t>Art. 34 (3) (f); (5) del Reg.(UE) n.1303/13</w:t>
            </w:r>
          </w:p>
          <w:p w:rsidR="00F6010A" w:rsidRPr="003E0D1C" w:rsidRDefault="00F6010A" w:rsidP="00F6010A">
            <w:pPr>
              <w:autoSpaceDE w:val="0"/>
              <w:autoSpaceDN w:val="0"/>
              <w:adjustRightInd w:val="0"/>
              <w:spacing w:before="120"/>
              <w:ind w:right="126"/>
              <w:rPr>
                <w:bCs/>
                <w:iCs/>
                <w:lang w:val="en-US"/>
              </w:rPr>
            </w:pPr>
            <w:r w:rsidRPr="003E0D1C">
              <w:rPr>
                <w:bCs/>
                <w:iCs/>
                <w:lang w:val="en-US"/>
              </w:rPr>
              <w:t>Art. 35 (1) (c) del Reg. (UE) n. 1303/13</w:t>
            </w:r>
          </w:p>
          <w:p w:rsidR="00F6010A" w:rsidRPr="003E0D1C" w:rsidRDefault="00F6010A" w:rsidP="00F6010A">
            <w:pPr>
              <w:autoSpaceDE w:val="0"/>
              <w:autoSpaceDN w:val="0"/>
              <w:adjustRightInd w:val="0"/>
              <w:spacing w:before="120"/>
              <w:ind w:right="126"/>
              <w:rPr>
                <w:bCs/>
                <w:iCs/>
                <w:lang w:val="en-US"/>
              </w:rPr>
            </w:pPr>
            <w:r w:rsidRPr="003E0D1C">
              <w:rPr>
                <w:bCs/>
                <w:iCs/>
                <w:lang w:val="en-US"/>
              </w:rPr>
              <w:t xml:space="preserve">Art. 44  del Reg. (UE) n. 1305/13  </w:t>
            </w:r>
          </w:p>
          <w:p w:rsidR="00F6010A" w:rsidRPr="003E0D1C" w:rsidRDefault="00F6010A" w:rsidP="00F6010A">
            <w:pPr>
              <w:autoSpaceDE w:val="0"/>
              <w:autoSpaceDN w:val="0"/>
              <w:adjustRightInd w:val="0"/>
              <w:spacing w:before="120"/>
              <w:ind w:right="126"/>
              <w:jc w:val="both"/>
              <w:rPr>
                <w:bCs/>
                <w:iCs/>
                <w:lang w:val="en-GB"/>
              </w:rPr>
            </w:pPr>
            <w:r w:rsidRPr="003E0D1C" w:rsidDel="00F44E6F">
              <w:rPr>
                <w:bCs/>
                <w:iCs/>
                <w:lang w:val="en-US"/>
              </w:rPr>
              <w:t xml:space="preserve"> </w:t>
            </w:r>
            <w:r w:rsidRPr="003E0D1C">
              <w:rPr>
                <w:bCs/>
                <w:iCs/>
                <w:lang w:val="en-GB"/>
              </w:rPr>
              <w:t>“Guidance for implementation of the Leader Co-operation activities in Rural Development Programmes 2014-2020” Draft 11/10/2013 -  Updated: 19/11/2014</w:t>
            </w:r>
          </w:p>
          <w:p w:rsidR="0093755C" w:rsidRPr="003E0D1C" w:rsidRDefault="0093755C" w:rsidP="00273BE4">
            <w:pPr>
              <w:autoSpaceDE w:val="0"/>
              <w:autoSpaceDN w:val="0"/>
              <w:adjustRightInd w:val="0"/>
              <w:spacing w:before="120"/>
              <w:ind w:right="126"/>
              <w:jc w:val="both"/>
              <w:rPr>
                <w:lang w:val="en-GB"/>
              </w:rPr>
            </w:pPr>
          </w:p>
        </w:tc>
      </w:tr>
      <w:tr w:rsidR="0093755C" w:rsidRPr="003E0D1C" w:rsidTr="00ED2206">
        <w:tc>
          <w:tcPr>
            <w:tcW w:w="2092" w:type="dxa"/>
            <w:tcBorders>
              <w:top w:val="single" w:sz="4" w:space="0" w:color="auto"/>
              <w:left w:val="single" w:sz="4" w:space="0" w:color="auto"/>
              <w:bottom w:val="single" w:sz="4" w:space="0" w:color="auto"/>
              <w:right w:val="single" w:sz="4" w:space="0" w:color="auto"/>
            </w:tcBorders>
          </w:tcPr>
          <w:p w:rsidR="0093755C" w:rsidRPr="003E0D1C" w:rsidRDefault="0093755C" w:rsidP="00273BE4">
            <w:pPr>
              <w:spacing w:before="120"/>
              <w:ind w:right="126"/>
              <w:jc w:val="center"/>
            </w:pPr>
            <w:r w:rsidRPr="003E0D1C">
              <w:t>Categorie di spesa eleggibili</w:t>
            </w:r>
          </w:p>
          <w:p w:rsidR="0093755C" w:rsidRPr="003E0D1C" w:rsidRDefault="0093755C" w:rsidP="00273BE4">
            <w:pPr>
              <w:spacing w:before="120"/>
              <w:ind w:right="126"/>
              <w:jc w:val="center"/>
            </w:pPr>
          </w:p>
        </w:tc>
        <w:tc>
          <w:tcPr>
            <w:tcW w:w="8276" w:type="dxa"/>
            <w:tcBorders>
              <w:top w:val="single" w:sz="4" w:space="0" w:color="auto"/>
              <w:left w:val="single" w:sz="4" w:space="0" w:color="auto"/>
              <w:bottom w:val="single" w:sz="4" w:space="0" w:color="auto"/>
              <w:right w:val="single" w:sz="4" w:space="0" w:color="auto"/>
            </w:tcBorders>
          </w:tcPr>
          <w:p w:rsidR="0093755C" w:rsidRPr="003E0D1C" w:rsidRDefault="0093755C" w:rsidP="00273BE4">
            <w:pPr>
              <w:tabs>
                <w:tab w:val="left" w:pos="557"/>
              </w:tabs>
              <w:spacing w:before="120"/>
              <w:ind w:left="-9" w:right="126"/>
              <w:rPr>
                <w:u w:val="single"/>
              </w:rPr>
            </w:pPr>
            <w:r w:rsidRPr="003E0D1C">
              <w:rPr>
                <w:u w:val="single"/>
              </w:rPr>
              <w:t>Spese di pre-</w:t>
            </w:r>
            <w:r w:rsidR="00F6010A" w:rsidRPr="003E0D1C">
              <w:rPr>
                <w:u w:val="single"/>
              </w:rPr>
              <w:t xml:space="preserve">sviluppo </w:t>
            </w:r>
            <w:r w:rsidRPr="003E0D1C">
              <w:rPr>
                <w:u w:val="single"/>
              </w:rPr>
              <w:t xml:space="preserve">del progetto, quali: </w:t>
            </w:r>
          </w:p>
          <w:p w:rsidR="0093755C" w:rsidRPr="003E0D1C" w:rsidRDefault="0093755C" w:rsidP="0093020D">
            <w:pPr>
              <w:numPr>
                <w:ilvl w:val="0"/>
                <w:numId w:val="23"/>
              </w:numPr>
              <w:tabs>
                <w:tab w:val="clear" w:pos="737"/>
              </w:tabs>
              <w:spacing w:before="120"/>
              <w:ind w:left="351" w:right="126"/>
              <w:jc w:val="both"/>
            </w:pPr>
            <w:r w:rsidRPr="003E0D1C">
              <w:t>spese relative alla ricerca dei partner, inclusi viaggi, trasporto locale, vitto, alloggio del personale coinvolto</w:t>
            </w:r>
          </w:p>
          <w:p w:rsidR="0093755C" w:rsidRPr="003E0D1C" w:rsidRDefault="0093755C" w:rsidP="0093020D">
            <w:pPr>
              <w:numPr>
                <w:ilvl w:val="0"/>
                <w:numId w:val="23"/>
              </w:numPr>
              <w:tabs>
                <w:tab w:val="clear" w:pos="737"/>
              </w:tabs>
              <w:spacing w:before="120"/>
              <w:ind w:left="351" w:right="126"/>
              <w:jc w:val="both"/>
            </w:pPr>
            <w:r w:rsidRPr="003E0D1C">
              <w:t>spese relative a studi di fattibilità, ricerche, acquisizione di consulenze specifiche ed altre attività inerenti (redazione progetto, ecc.);</w:t>
            </w:r>
          </w:p>
          <w:p w:rsidR="0093755C" w:rsidRPr="003E0D1C" w:rsidRDefault="0093755C" w:rsidP="0093020D">
            <w:pPr>
              <w:numPr>
                <w:ilvl w:val="0"/>
                <w:numId w:val="23"/>
              </w:numPr>
              <w:tabs>
                <w:tab w:val="clear" w:pos="737"/>
              </w:tabs>
              <w:spacing w:before="120"/>
              <w:ind w:left="351" w:right="126"/>
              <w:jc w:val="both"/>
            </w:pPr>
            <w:r w:rsidRPr="003E0D1C">
              <w:t>spese relative alla comunicazione ed informazione, inclusi interpretariato e traduzione testi, azioni di sensibilizzazione e informazione dei territori, ed altre attività inerenti;</w:t>
            </w:r>
          </w:p>
          <w:p w:rsidR="0093755C" w:rsidRPr="003E0D1C" w:rsidRDefault="0093755C" w:rsidP="0093020D">
            <w:pPr>
              <w:numPr>
                <w:ilvl w:val="0"/>
                <w:numId w:val="23"/>
              </w:numPr>
              <w:tabs>
                <w:tab w:val="clear" w:pos="737"/>
              </w:tabs>
              <w:spacing w:before="120"/>
              <w:ind w:left="351" w:right="126"/>
              <w:jc w:val="both"/>
            </w:pPr>
            <w:r w:rsidRPr="003E0D1C">
              <w:t>spese relative all’organizzazione di riunioni e incontri,  incluso l’affitto dei locali e il noleggio delle attrezzature, catering, interpretariato e traduzione;</w:t>
            </w:r>
          </w:p>
          <w:p w:rsidR="0093755C" w:rsidRPr="003E0D1C" w:rsidRDefault="0093755C" w:rsidP="0093020D">
            <w:pPr>
              <w:numPr>
                <w:ilvl w:val="0"/>
                <w:numId w:val="23"/>
              </w:numPr>
              <w:tabs>
                <w:tab w:val="clear" w:pos="737"/>
              </w:tabs>
              <w:spacing w:before="120"/>
              <w:ind w:left="351" w:right="126"/>
              <w:jc w:val="both"/>
            </w:pPr>
            <w:r w:rsidRPr="003E0D1C">
              <w:t xml:space="preserve">spese generali relative all’organizzazione e al coordinamento delle attività di progettazione e animazione. </w:t>
            </w:r>
          </w:p>
          <w:p w:rsidR="0093755C" w:rsidRPr="003E0D1C" w:rsidRDefault="0093755C" w:rsidP="0093020D">
            <w:pPr>
              <w:numPr>
                <w:ilvl w:val="0"/>
                <w:numId w:val="23"/>
              </w:numPr>
              <w:tabs>
                <w:tab w:val="clear" w:pos="737"/>
              </w:tabs>
              <w:spacing w:before="120"/>
              <w:ind w:left="351" w:right="126"/>
              <w:jc w:val="both"/>
            </w:pPr>
          </w:p>
        </w:tc>
      </w:tr>
      <w:tr w:rsidR="00F6010A" w:rsidRPr="003E0D1C" w:rsidTr="00ED2206">
        <w:tc>
          <w:tcPr>
            <w:tcW w:w="2092" w:type="dxa"/>
            <w:tcBorders>
              <w:top w:val="single" w:sz="4" w:space="0" w:color="auto"/>
              <w:left w:val="single" w:sz="4" w:space="0" w:color="auto"/>
              <w:bottom w:val="single" w:sz="4" w:space="0" w:color="auto"/>
              <w:right w:val="single" w:sz="4" w:space="0" w:color="auto"/>
            </w:tcBorders>
          </w:tcPr>
          <w:p w:rsidR="00F6010A" w:rsidRPr="003E0D1C" w:rsidRDefault="00F6010A" w:rsidP="00273BE4">
            <w:pPr>
              <w:spacing w:before="120"/>
              <w:ind w:right="126"/>
              <w:jc w:val="center"/>
            </w:pPr>
          </w:p>
        </w:tc>
        <w:tc>
          <w:tcPr>
            <w:tcW w:w="8276" w:type="dxa"/>
            <w:tcBorders>
              <w:top w:val="single" w:sz="4" w:space="0" w:color="auto"/>
              <w:left w:val="single" w:sz="4" w:space="0" w:color="auto"/>
              <w:bottom w:val="single" w:sz="4" w:space="0" w:color="auto"/>
              <w:right w:val="single" w:sz="4" w:space="0" w:color="auto"/>
            </w:tcBorders>
          </w:tcPr>
          <w:p w:rsidR="00F6010A" w:rsidRPr="003E0D1C" w:rsidRDefault="00F6010A" w:rsidP="00273BE4">
            <w:pPr>
              <w:tabs>
                <w:tab w:val="left" w:pos="557"/>
              </w:tabs>
              <w:spacing w:before="120"/>
              <w:ind w:left="-9" w:right="126"/>
              <w:rPr>
                <w:u w:val="single"/>
              </w:rPr>
            </w:pPr>
            <w:r w:rsidRPr="003E0D1C">
              <w:rPr>
                <w:bCs/>
                <w:iCs/>
                <w:u w:val="single"/>
              </w:rPr>
              <w:t xml:space="preserve">4.b realizzazione dei progetti di cooperazione </w:t>
            </w:r>
          </w:p>
        </w:tc>
      </w:tr>
      <w:tr w:rsidR="00F6010A" w:rsidRPr="003E0D1C" w:rsidTr="00ED2206">
        <w:tc>
          <w:tcPr>
            <w:tcW w:w="2092" w:type="dxa"/>
            <w:tcBorders>
              <w:top w:val="single" w:sz="4" w:space="0" w:color="auto"/>
              <w:left w:val="single" w:sz="4" w:space="0" w:color="auto"/>
              <w:bottom w:val="single" w:sz="4" w:space="0" w:color="auto"/>
              <w:right w:val="single" w:sz="4" w:space="0" w:color="auto"/>
            </w:tcBorders>
          </w:tcPr>
          <w:p w:rsidR="00F6010A" w:rsidRPr="003E0D1C" w:rsidRDefault="00F6010A" w:rsidP="00273BE4">
            <w:pPr>
              <w:spacing w:before="120"/>
              <w:ind w:right="126"/>
              <w:jc w:val="center"/>
            </w:pPr>
          </w:p>
        </w:tc>
        <w:tc>
          <w:tcPr>
            <w:tcW w:w="8276" w:type="dxa"/>
            <w:tcBorders>
              <w:top w:val="single" w:sz="4" w:space="0" w:color="auto"/>
              <w:left w:val="single" w:sz="4" w:space="0" w:color="auto"/>
              <w:bottom w:val="single" w:sz="4" w:space="0" w:color="auto"/>
              <w:right w:val="single" w:sz="4" w:space="0" w:color="auto"/>
            </w:tcBorders>
          </w:tcPr>
          <w:p w:rsidR="00F6010A" w:rsidRPr="003E0D1C" w:rsidRDefault="00F6010A" w:rsidP="00F6010A">
            <w:pPr>
              <w:tabs>
                <w:tab w:val="left" w:pos="557"/>
              </w:tabs>
              <w:spacing w:before="120"/>
              <w:ind w:left="-9" w:right="126"/>
              <w:jc w:val="both"/>
              <w:rPr>
                <w:u w:val="single"/>
              </w:rPr>
            </w:pPr>
            <w:r w:rsidRPr="003E0D1C">
              <w:rPr>
                <w:u w:val="single"/>
              </w:rPr>
              <w:t>Realizzazione del progetto:</w:t>
            </w:r>
          </w:p>
          <w:p w:rsidR="00F6010A" w:rsidRPr="003E0D1C" w:rsidRDefault="00F6010A" w:rsidP="00F6010A">
            <w:pPr>
              <w:spacing w:before="120"/>
              <w:ind w:left="-9" w:right="126"/>
              <w:jc w:val="both"/>
            </w:pPr>
            <w:r w:rsidRPr="003E0D1C">
              <w:t>Per le spese relative all’attuazione degli interventi che ricadono nelle singole misure dei PSR, si rimanda alle tipologie di spesa ammissibili individuate nelle relative schede di misura.</w:t>
            </w:r>
          </w:p>
          <w:p w:rsidR="00F6010A" w:rsidRPr="003E0D1C" w:rsidRDefault="00F6010A" w:rsidP="00F6010A">
            <w:pPr>
              <w:tabs>
                <w:tab w:val="left" w:pos="557"/>
              </w:tabs>
              <w:spacing w:before="120"/>
              <w:ind w:left="-9" w:right="126"/>
              <w:jc w:val="both"/>
            </w:pPr>
            <w:r w:rsidRPr="003E0D1C">
              <w:t>In relazione alla specificità delle azioni di cooperazione, è possibile individuare le seguenti categorie di spesa:</w:t>
            </w:r>
          </w:p>
          <w:p w:rsidR="00F6010A" w:rsidRPr="003E0D1C" w:rsidRDefault="00F6010A" w:rsidP="0093020D">
            <w:pPr>
              <w:numPr>
                <w:ilvl w:val="0"/>
                <w:numId w:val="23"/>
              </w:numPr>
              <w:tabs>
                <w:tab w:val="clear" w:pos="737"/>
              </w:tabs>
              <w:spacing w:before="120"/>
              <w:ind w:left="351" w:right="126"/>
              <w:jc w:val="both"/>
            </w:pPr>
            <w:r w:rsidRPr="003E0D1C">
              <w:t>spese per il personale dedicato alla realizzazione delle attività dei progetti di cooperazione</w:t>
            </w:r>
            <w:r w:rsidR="009D6265">
              <w:t>, comprensivo di TFR</w:t>
            </w:r>
            <w:r w:rsidRPr="003E0D1C">
              <w:t xml:space="preserve"> </w:t>
            </w:r>
          </w:p>
          <w:p w:rsidR="00F6010A" w:rsidRPr="003E0D1C" w:rsidRDefault="00F6010A" w:rsidP="0093020D">
            <w:pPr>
              <w:numPr>
                <w:ilvl w:val="0"/>
                <w:numId w:val="23"/>
              </w:numPr>
              <w:tabs>
                <w:tab w:val="clear" w:pos="737"/>
              </w:tabs>
              <w:spacing w:before="120"/>
              <w:ind w:left="351" w:right="126"/>
              <w:jc w:val="both"/>
            </w:pPr>
            <w:r w:rsidRPr="003E0D1C">
              <w:t>spese relative a riunioni ed incontri di coordinamento tra partner, incluse le spese di viaggio, vitto, alloggio, trasporto locale, affitto locali, catering e noleggio attrezzature;</w:t>
            </w:r>
          </w:p>
          <w:p w:rsidR="00F6010A" w:rsidRPr="003E0D1C" w:rsidRDefault="00F6010A" w:rsidP="00F6010A">
            <w:pPr>
              <w:tabs>
                <w:tab w:val="left" w:pos="557"/>
              </w:tabs>
              <w:spacing w:before="120"/>
              <w:ind w:left="-9" w:right="126"/>
              <w:rPr>
                <w:bCs/>
                <w:iCs/>
                <w:u w:val="single"/>
              </w:rPr>
            </w:pPr>
            <w:r w:rsidRPr="003E0D1C">
              <w:t>spese per servizi di interpretariato e traduzione;</w:t>
            </w:r>
          </w:p>
        </w:tc>
      </w:tr>
      <w:tr w:rsidR="0093755C" w:rsidRPr="003E0D1C" w:rsidTr="00ED2206">
        <w:tc>
          <w:tcPr>
            <w:tcW w:w="2092" w:type="dxa"/>
            <w:tcBorders>
              <w:top w:val="single" w:sz="4" w:space="0" w:color="auto"/>
              <w:left w:val="single" w:sz="4" w:space="0" w:color="auto"/>
              <w:bottom w:val="single" w:sz="4" w:space="0" w:color="auto"/>
              <w:right w:val="single" w:sz="4" w:space="0" w:color="auto"/>
            </w:tcBorders>
          </w:tcPr>
          <w:p w:rsidR="0093755C" w:rsidRPr="003E0D1C" w:rsidRDefault="0093755C" w:rsidP="00273BE4">
            <w:pPr>
              <w:spacing w:before="120"/>
              <w:ind w:right="126"/>
              <w:jc w:val="center"/>
            </w:pPr>
            <w:r w:rsidRPr="003E0D1C">
              <w:t>Vincoli e limitazioni</w:t>
            </w:r>
          </w:p>
        </w:tc>
        <w:tc>
          <w:tcPr>
            <w:tcW w:w="8276" w:type="dxa"/>
            <w:tcBorders>
              <w:top w:val="single" w:sz="4" w:space="0" w:color="auto"/>
              <w:left w:val="single" w:sz="4" w:space="0" w:color="auto"/>
              <w:bottom w:val="single" w:sz="4" w:space="0" w:color="auto"/>
              <w:right w:val="single" w:sz="4" w:space="0" w:color="auto"/>
            </w:tcBorders>
          </w:tcPr>
          <w:p w:rsidR="0093755C" w:rsidRPr="003E0D1C" w:rsidRDefault="0093755C" w:rsidP="00273BE4">
            <w:pPr>
              <w:spacing w:before="120"/>
              <w:ind w:right="126"/>
              <w:jc w:val="both"/>
            </w:pPr>
            <w:r w:rsidRPr="003E0D1C">
              <w:t>Le spese generali indirette devono essere determinate sulla base di un pro-quota equo e trasparente, debitamente giustificato e documentato.</w:t>
            </w:r>
          </w:p>
          <w:p w:rsidR="0093755C" w:rsidRPr="003E0D1C" w:rsidRDefault="0093755C" w:rsidP="00273BE4">
            <w:pPr>
              <w:spacing w:before="120"/>
              <w:ind w:right="126"/>
              <w:jc w:val="both"/>
            </w:pPr>
            <w:r w:rsidRPr="003E0D1C">
              <w:t xml:space="preserve">Le categorie di spesa di cooperazione possono riferirsi ad azioni comuni e/o </w:t>
            </w:r>
            <w:r w:rsidRPr="003E0D1C">
              <w:lastRenderedPageBreak/>
              <w:t>individuali dei partner.</w:t>
            </w:r>
          </w:p>
          <w:p w:rsidR="0093755C" w:rsidRPr="003E0D1C" w:rsidRDefault="0093755C" w:rsidP="00273BE4">
            <w:pPr>
              <w:spacing w:before="120"/>
              <w:ind w:right="126"/>
              <w:jc w:val="both"/>
            </w:pPr>
            <w:r w:rsidRPr="003E0D1C">
              <w:t>La scheda di progetto allegata all’accordo di cooperazione deve indicare chiaramente il metodo e i criteri di ripartizione delle azioni (comuni e individuali) e delle relative spese tra i diversi partner.</w:t>
            </w:r>
          </w:p>
          <w:p w:rsidR="0093755C" w:rsidRPr="003E0D1C" w:rsidRDefault="0093755C" w:rsidP="00273BE4">
            <w:pPr>
              <w:spacing w:before="120"/>
              <w:ind w:right="126"/>
              <w:jc w:val="both"/>
            </w:pPr>
            <w:r w:rsidRPr="003E0D1C">
              <w:t>Nel caso di cooperazione con una zona di un Paese Terzo le spese previste e riconducibili alla zona LEADER, pur se non sostenute nell’area LEADER, sono ammissibili (partecipazione del GAL agli incontri di partenariato, etc.). Le spese realizzate in un Paese Terzo e non riconducibili alla zona LEADER non sono ammissibili.</w:t>
            </w:r>
          </w:p>
        </w:tc>
      </w:tr>
    </w:tbl>
    <w:p w:rsidR="00C3105C" w:rsidRDefault="00C3105C"/>
    <w:p w:rsidR="00111ECB" w:rsidRDefault="00111ECB" w:rsidP="00273BE4">
      <w:pPr>
        <w:spacing w:before="120"/>
        <w:ind w:right="126"/>
      </w:pPr>
    </w:p>
    <w:tbl>
      <w:tblPr>
        <w:tblW w:w="10368" w:type="dxa"/>
        <w:tblLook w:val="01E0" w:firstRow="1" w:lastRow="1" w:firstColumn="1" w:lastColumn="1" w:noHBand="0" w:noVBand="0"/>
      </w:tblPr>
      <w:tblGrid>
        <w:gridCol w:w="2093"/>
        <w:gridCol w:w="8275"/>
      </w:tblGrid>
      <w:tr w:rsidR="00111ECB" w:rsidRPr="003E0D1C" w:rsidTr="00452302">
        <w:trPr>
          <w:trHeight w:val="672"/>
        </w:trPr>
        <w:tc>
          <w:tcPr>
            <w:tcW w:w="10368" w:type="dxa"/>
            <w:gridSpan w:val="2"/>
            <w:tcBorders>
              <w:top w:val="single" w:sz="4" w:space="0" w:color="auto"/>
              <w:left w:val="single" w:sz="4" w:space="0" w:color="auto"/>
              <w:bottom w:val="single" w:sz="4" w:space="0" w:color="auto"/>
              <w:right w:val="single" w:sz="4" w:space="0" w:color="auto"/>
            </w:tcBorders>
            <w:shd w:val="clear" w:color="auto" w:fill="FFFFFF"/>
          </w:tcPr>
          <w:p w:rsidR="00111ECB" w:rsidRPr="003E0D1C" w:rsidRDefault="00B22737" w:rsidP="00273BE4">
            <w:pPr>
              <w:pStyle w:val="Titolo"/>
              <w:spacing w:before="120" w:after="0"/>
              <w:ind w:right="126"/>
              <w:rPr>
                <w:sz w:val="24"/>
                <w:szCs w:val="24"/>
              </w:rPr>
            </w:pPr>
            <w:r w:rsidRPr="003E0D1C">
              <w:rPr>
                <w:b w:val="0"/>
                <w:sz w:val="24"/>
                <w:szCs w:val="24"/>
              </w:rPr>
              <w:t xml:space="preserve"> </w:t>
            </w:r>
            <w:r w:rsidRPr="003E0D1C">
              <w:rPr>
                <w:sz w:val="24"/>
                <w:szCs w:val="24"/>
              </w:rPr>
              <w:t xml:space="preserve"> </w:t>
            </w:r>
            <w:bookmarkStart w:id="43" w:name="_Toc432090733"/>
            <w:r w:rsidR="003E0D1C">
              <w:rPr>
                <w:sz w:val="24"/>
                <w:szCs w:val="24"/>
              </w:rPr>
              <w:t>5</w:t>
            </w:r>
            <w:r w:rsidR="001B50B7" w:rsidRPr="003E0D1C">
              <w:rPr>
                <w:sz w:val="24"/>
                <w:szCs w:val="24"/>
              </w:rPr>
              <w:t xml:space="preserve"> - </w:t>
            </w:r>
            <w:r w:rsidR="00111ECB" w:rsidRPr="003E0D1C">
              <w:rPr>
                <w:sz w:val="24"/>
                <w:szCs w:val="24"/>
              </w:rPr>
              <w:t>ASSISTENZA TECNICA</w:t>
            </w:r>
            <w:bookmarkEnd w:id="43"/>
          </w:p>
          <w:p w:rsidR="00E24645" w:rsidRPr="003E0D1C" w:rsidRDefault="00E24645" w:rsidP="00273BE4">
            <w:pPr>
              <w:ind w:right="126"/>
              <w:jc w:val="center"/>
            </w:pPr>
          </w:p>
        </w:tc>
      </w:tr>
      <w:tr w:rsidR="008B6CF1" w:rsidRPr="00A01342" w:rsidTr="00452302">
        <w:tc>
          <w:tcPr>
            <w:tcW w:w="2093" w:type="dxa"/>
            <w:tcBorders>
              <w:top w:val="single" w:sz="4" w:space="0" w:color="auto"/>
              <w:left w:val="single" w:sz="4" w:space="0" w:color="auto"/>
              <w:bottom w:val="single" w:sz="4" w:space="0" w:color="auto"/>
              <w:right w:val="single" w:sz="4" w:space="0" w:color="auto"/>
            </w:tcBorders>
            <w:shd w:val="clear" w:color="auto" w:fill="FFFFFF"/>
          </w:tcPr>
          <w:p w:rsidR="008B6CF1" w:rsidRPr="003E0D1C" w:rsidRDefault="008B6CF1" w:rsidP="00273BE4">
            <w:pPr>
              <w:spacing w:before="120"/>
              <w:ind w:right="126"/>
              <w:jc w:val="center"/>
            </w:pPr>
            <w:r w:rsidRPr="003E0D1C">
              <w:t xml:space="preserve">Riferimenti normativi </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8B6CF1" w:rsidRPr="003E0D1C" w:rsidRDefault="008B6CF1" w:rsidP="00FA2779">
            <w:pPr>
              <w:spacing w:before="120"/>
              <w:ind w:right="126"/>
              <w:rPr>
                <w:lang w:val="en-US"/>
              </w:rPr>
            </w:pPr>
            <w:r w:rsidRPr="003E0D1C">
              <w:rPr>
                <w:lang w:val="en-US"/>
              </w:rPr>
              <w:t>Reg. (UE) n. 1303/13, art. 59.</w:t>
            </w:r>
          </w:p>
          <w:p w:rsidR="008B6CF1" w:rsidRPr="003E0D1C" w:rsidRDefault="008B6CF1" w:rsidP="00FA2779">
            <w:pPr>
              <w:spacing w:before="120"/>
              <w:ind w:right="126"/>
              <w:rPr>
                <w:bCs/>
                <w:lang w:val="en-US"/>
              </w:rPr>
            </w:pPr>
            <w:r w:rsidRPr="003E0D1C">
              <w:rPr>
                <w:lang w:val="en-US"/>
              </w:rPr>
              <w:t>Reg. (UE) n. 1305/13, art. 54</w:t>
            </w:r>
          </w:p>
        </w:tc>
      </w:tr>
      <w:tr w:rsidR="008B6CF1" w:rsidRPr="003E0D1C" w:rsidTr="00452302">
        <w:tc>
          <w:tcPr>
            <w:tcW w:w="2093" w:type="dxa"/>
            <w:tcBorders>
              <w:top w:val="single" w:sz="4" w:space="0" w:color="auto"/>
              <w:left w:val="single" w:sz="4" w:space="0" w:color="auto"/>
              <w:bottom w:val="single" w:sz="4" w:space="0" w:color="auto"/>
              <w:right w:val="single" w:sz="4" w:space="0" w:color="auto"/>
            </w:tcBorders>
          </w:tcPr>
          <w:p w:rsidR="008B6CF1" w:rsidRPr="003E0D1C" w:rsidRDefault="008B6CF1" w:rsidP="00273BE4">
            <w:pPr>
              <w:ind w:right="126"/>
              <w:jc w:val="center"/>
            </w:pPr>
            <w:r w:rsidRPr="003E0D1C">
              <w:t>Categorie di spesa</w:t>
            </w:r>
          </w:p>
          <w:p w:rsidR="008B6CF1" w:rsidRPr="003E0D1C" w:rsidRDefault="008B6CF1" w:rsidP="00273BE4">
            <w:pPr>
              <w:ind w:right="126"/>
              <w:jc w:val="center"/>
            </w:pPr>
            <w:r w:rsidRPr="003E0D1C">
              <w:t>eleggibili</w:t>
            </w:r>
          </w:p>
        </w:tc>
        <w:tc>
          <w:tcPr>
            <w:tcW w:w="8275" w:type="dxa"/>
            <w:tcBorders>
              <w:top w:val="single" w:sz="4" w:space="0" w:color="auto"/>
              <w:left w:val="single" w:sz="4" w:space="0" w:color="auto"/>
              <w:bottom w:val="single" w:sz="4" w:space="0" w:color="auto"/>
              <w:right w:val="single" w:sz="4" w:space="0" w:color="auto"/>
            </w:tcBorders>
          </w:tcPr>
          <w:p w:rsidR="008B6CF1" w:rsidRPr="003E0D1C" w:rsidRDefault="008B6CF1" w:rsidP="006373FF">
            <w:pPr>
              <w:numPr>
                <w:ilvl w:val="0"/>
                <w:numId w:val="20"/>
              </w:numPr>
              <w:spacing w:before="60"/>
              <w:ind w:right="125"/>
              <w:jc w:val="both"/>
            </w:pPr>
            <w:r w:rsidRPr="003E0D1C">
              <w:t xml:space="preserve">Acquisto di hardware e software per la gestione, il controllo ed il monitoraggio dei programmi; nel caso in cui questi ultimi beni siano utilizzati per un periodo inferiore al periodo di ammortamento, sono ammissibili solamente in quota parte; </w:t>
            </w:r>
          </w:p>
          <w:p w:rsidR="008B6CF1" w:rsidRPr="003E0D1C" w:rsidRDefault="008B6CF1" w:rsidP="006373FF">
            <w:pPr>
              <w:numPr>
                <w:ilvl w:val="0"/>
                <w:numId w:val="20"/>
              </w:numPr>
              <w:spacing w:before="60"/>
              <w:ind w:right="125"/>
              <w:jc w:val="both"/>
            </w:pPr>
            <w:r w:rsidRPr="003E0D1C">
              <w:t>progettazione ed implementazione di sistemi informatici di rete per la gestione, il controllo ed il monitoraggio dei programmi;</w:t>
            </w:r>
          </w:p>
          <w:p w:rsidR="008B6CF1" w:rsidRPr="003E0D1C" w:rsidRDefault="008B6CF1" w:rsidP="006373FF">
            <w:pPr>
              <w:numPr>
                <w:ilvl w:val="0"/>
                <w:numId w:val="20"/>
              </w:numPr>
              <w:spacing w:before="60"/>
              <w:ind w:right="125"/>
              <w:jc w:val="both"/>
            </w:pPr>
            <w:r w:rsidRPr="003E0D1C">
              <w:t>predisposizione delle postazioni di AT (acquisto degli arredi e dei materiali di consumo);</w:t>
            </w:r>
          </w:p>
          <w:p w:rsidR="008B6CF1" w:rsidRPr="003E0D1C" w:rsidRDefault="008B6CF1" w:rsidP="006373FF">
            <w:pPr>
              <w:numPr>
                <w:ilvl w:val="0"/>
                <w:numId w:val="20"/>
              </w:numPr>
              <w:spacing w:before="60"/>
              <w:ind w:right="125"/>
              <w:jc w:val="both"/>
            </w:pPr>
            <w:r w:rsidRPr="003E0D1C">
              <w:t>risorse umane dedicate alle attività di AT</w:t>
            </w:r>
            <w:r w:rsidR="009D6265">
              <w:t xml:space="preserve"> </w:t>
            </w:r>
            <w:r w:rsidRPr="003E0D1C">
              <w:t>;</w:t>
            </w:r>
          </w:p>
          <w:p w:rsidR="008B6CF1" w:rsidRPr="003E0D1C" w:rsidRDefault="008B6CF1" w:rsidP="006373FF">
            <w:pPr>
              <w:numPr>
                <w:ilvl w:val="0"/>
                <w:numId w:val="20"/>
              </w:numPr>
              <w:spacing w:before="60"/>
              <w:ind w:right="125"/>
              <w:jc w:val="both"/>
            </w:pPr>
            <w:r w:rsidRPr="003E0D1C">
              <w:t>collaborazioni e consulenze professionali (inclusi i compensi relativi alla partecipazione a commissioni e a comitati tecnici);</w:t>
            </w:r>
          </w:p>
          <w:p w:rsidR="008B6CF1" w:rsidRPr="003E0D1C" w:rsidRDefault="008B6CF1" w:rsidP="006373FF">
            <w:pPr>
              <w:numPr>
                <w:ilvl w:val="0"/>
                <w:numId w:val="20"/>
              </w:numPr>
              <w:spacing w:before="60"/>
              <w:ind w:right="125"/>
              <w:jc w:val="both"/>
            </w:pPr>
            <w:r w:rsidRPr="003E0D1C">
              <w:t>compensi professionali per</w:t>
            </w:r>
            <w:r w:rsidR="006373FF">
              <w:t xml:space="preserve"> il supporto alla risoluzione del contenzioso e per </w:t>
            </w:r>
            <w:r w:rsidRPr="003E0D1C">
              <w:t>le procedure arbitrali di cui al D.M. 20.12.2006 e successive modificazioni e integrazioni, relative alle controversie in materia di PSR;</w:t>
            </w:r>
          </w:p>
          <w:p w:rsidR="008B6CF1" w:rsidRPr="003E0D1C" w:rsidRDefault="008B6CF1" w:rsidP="006373FF">
            <w:pPr>
              <w:numPr>
                <w:ilvl w:val="0"/>
                <w:numId w:val="20"/>
              </w:numPr>
              <w:spacing w:before="60"/>
              <w:ind w:right="125"/>
              <w:jc w:val="both"/>
            </w:pPr>
            <w:r w:rsidRPr="003E0D1C">
              <w:t xml:space="preserve">realizzazione di studi, ricerche e indagini (incluse le spese di pubblicazione e diffusione dei risultati); </w:t>
            </w:r>
          </w:p>
          <w:p w:rsidR="008B6CF1" w:rsidRPr="003E0D1C" w:rsidRDefault="008B6CF1" w:rsidP="006373FF">
            <w:pPr>
              <w:numPr>
                <w:ilvl w:val="0"/>
                <w:numId w:val="20"/>
              </w:numPr>
              <w:spacing w:before="60"/>
              <w:ind w:right="125"/>
              <w:jc w:val="both"/>
            </w:pPr>
            <w:r w:rsidRPr="003E0D1C">
              <w:t xml:space="preserve">spese di missioni, anche all’estero, relative alla partecipazione a eventi legati alle attività da svolgere come assistenza tecnica; </w:t>
            </w:r>
          </w:p>
          <w:p w:rsidR="008B6CF1" w:rsidRPr="003E0D1C" w:rsidRDefault="008B6CF1" w:rsidP="006373FF">
            <w:pPr>
              <w:numPr>
                <w:ilvl w:val="0"/>
                <w:numId w:val="20"/>
              </w:numPr>
              <w:spacing w:before="60"/>
              <w:ind w:right="125"/>
              <w:jc w:val="both"/>
            </w:pPr>
            <w:r w:rsidRPr="003E0D1C">
              <w:t>spese per la valutazione;</w:t>
            </w:r>
          </w:p>
          <w:p w:rsidR="008B6CF1" w:rsidRPr="003E0D1C" w:rsidRDefault="008B6CF1" w:rsidP="006373FF">
            <w:pPr>
              <w:numPr>
                <w:ilvl w:val="0"/>
                <w:numId w:val="20"/>
              </w:numPr>
              <w:spacing w:before="60"/>
              <w:ind w:right="125"/>
              <w:jc w:val="both"/>
            </w:pPr>
            <w:r w:rsidRPr="003E0D1C">
              <w:t>organizzazione di study visit;</w:t>
            </w:r>
          </w:p>
          <w:p w:rsidR="008B6CF1" w:rsidRPr="003E0D1C" w:rsidRDefault="008B6CF1" w:rsidP="006373FF">
            <w:pPr>
              <w:numPr>
                <w:ilvl w:val="0"/>
                <w:numId w:val="20"/>
              </w:numPr>
              <w:spacing w:before="60"/>
              <w:ind w:right="125"/>
              <w:jc w:val="both"/>
            </w:pPr>
            <w:r w:rsidRPr="003E0D1C">
              <w:t>formazione dei soggetti coinvolti nell’attuazione dei programmi di sviluppo rurale e della rete rurale nazionale per quanto riguarda le attività di preparazione, gestione, sorveglianza, valutazione, informazione e controllo degli interventi del programma;</w:t>
            </w:r>
          </w:p>
          <w:p w:rsidR="008B6CF1" w:rsidRPr="003E0D1C" w:rsidRDefault="008B6CF1" w:rsidP="006373FF">
            <w:pPr>
              <w:numPr>
                <w:ilvl w:val="0"/>
                <w:numId w:val="20"/>
              </w:numPr>
              <w:spacing w:before="60"/>
              <w:ind w:right="125"/>
              <w:jc w:val="both"/>
            </w:pPr>
            <w:r w:rsidRPr="003E0D1C">
              <w:t>servizi di traduzione e interpretariato;</w:t>
            </w:r>
          </w:p>
          <w:p w:rsidR="008B6CF1" w:rsidRPr="003E0D1C" w:rsidRDefault="008B6CF1" w:rsidP="006373FF">
            <w:pPr>
              <w:numPr>
                <w:ilvl w:val="0"/>
                <w:numId w:val="20"/>
              </w:numPr>
              <w:spacing w:before="60"/>
              <w:ind w:right="125"/>
              <w:jc w:val="both"/>
            </w:pPr>
            <w:r w:rsidRPr="003E0D1C">
              <w:t>spese generali (spese di funzionamento della struttura, luce, acqua, telefono, materiale di consumo, ecc.);</w:t>
            </w:r>
          </w:p>
          <w:p w:rsidR="006373FF" w:rsidRPr="003E0D1C" w:rsidRDefault="008B6CF1" w:rsidP="006373FF">
            <w:pPr>
              <w:numPr>
                <w:ilvl w:val="0"/>
                <w:numId w:val="20"/>
              </w:numPr>
              <w:spacing w:before="60"/>
              <w:ind w:right="125"/>
              <w:jc w:val="both"/>
            </w:pPr>
            <w:r w:rsidRPr="003E0D1C">
              <w:t>spese per la predisposizione dei bandi;</w:t>
            </w:r>
          </w:p>
          <w:p w:rsidR="008B6CF1" w:rsidRPr="003E0D1C" w:rsidRDefault="008B6CF1" w:rsidP="006373FF">
            <w:pPr>
              <w:numPr>
                <w:ilvl w:val="0"/>
                <w:numId w:val="20"/>
              </w:numPr>
              <w:spacing w:before="60"/>
              <w:ind w:right="125"/>
              <w:jc w:val="both"/>
            </w:pPr>
            <w:r w:rsidRPr="003E0D1C">
              <w:t xml:space="preserve">spese di funzionamento del Comitato di Sorveglianza (incluso l’affitto dei </w:t>
            </w:r>
            <w:r w:rsidRPr="003E0D1C">
              <w:lastRenderedPageBreak/>
              <w:t>locali e il noleggio delle attrezzature, vitto, interpretariato e traduzione);</w:t>
            </w:r>
          </w:p>
          <w:p w:rsidR="008B6CF1" w:rsidRPr="003E0D1C" w:rsidRDefault="008B6CF1" w:rsidP="006373FF">
            <w:pPr>
              <w:numPr>
                <w:ilvl w:val="0"/>
                <w:numId w:val="20"/>
              </w:numPr>
              <w:spacing w:before="60"/>
              <w:ind w:right="125"/>
              <w:jc w:val="both"/>
            </w:pPr>
            <w:r w:rsidRPr="003E0D1C">
              <w:t>organizzazione di seminari, convegni, workshop, incontri informativi e divulgativi,  incluso l’affitto locali e noleggio attrezzature, vitto, alloggio, interpretariato e traduzione;</w:t>
            </w:r>
          </w:p>
          <w:p w:rsidR="008B6CF1" w:rsidRPr="003E0D1C" w:rsidRDefault="008B6CF1" w:rsidP="006373FF">
            <w:pPr>
              <w:numPr>
                <w:ilvl w:val="0"/>
                <w:numId w:val="20"/>
              </w:numPr>
              <w:spacing w:before="60"/>
              <w:ind w:right="125"/>
              <w:jc w:val="both"/>
            </w:pPr>
            <w:r w:rsidRPr="003E0D1C">
              <w:t>partecipazione ed organizzazione di fiere ed altri eventi;</w:t>
            </w:r>
          </w:p>
          <w:p w:rsidR="008B6CF1" w:rsidRPr="003E0D1C" w:rsidRDefault="008B6CF1" w:rsidP="006373FF">
            <w:pPr>
              <w:numPr>
                <w:ilvl w:val="0"/>
                <w:numId w:val="20"/>
              </w:numPr>
              <w:spacing w:before="60"/>
              <w:ind w:right="125"/>
              <w:jc w:val="both"/>
            </w:pPr>
            <w:r w:rsidRPr="003E0D1C">
              <w:t xml:space="preserve">progettazione e realizzazione loghi; </w:t>
            </w:r>
          </w:p>
          <w:p w:rsidR="008B6CF1" w:rsidRPr="003E0D1C" w:rsidRDefault="008B6CF1" w:rsidP="006373FF">
            <w:pPr>
              <w:numPr>
                <w:ilvl w:val="0"/>
                <w:numId w:val="20"/>
              </w:numPr>
              <w:spacing w:before="60"/>
              <w:ind w:right="125"/>
              <w:jc w:val="both"/>
            </w:pPr>
            <w:r w:rsidRPr="003E0D1C">
              <w:t xml:space="preserve">attività di informazione, pubblicità, e produzione di materiale informativo, come ad esempio: organizzazione di iniziative concorsuali volte all’acquisizione e/o produzione di materiale informativo, divulgativo pubblicitario (inclusi siti Web, campagne di informazione, pubblicazioni cartacee e digitali, cartellonistica, insegne e altro materiale pubblicitario e informativo, ecc.); </w:t>
            </w:r>
          </w:p>
          <w:p w:rsidR="008B6CF1" w:rsidRPr="003E0D1C" w:rsidRDefault="008B6CF1" w:rsidP="006373FF">
            <w:pPr>
              <w:numPr>
                <w:ilvl w:val="0"/>
                <w:numId w:val="20"/>
              </w:numPr>
              <w:spacing w:before="60"/>
              <w:ind w:right="125"/>
              <w:jc w:val="both"/>
            </w:pPr>
            <w:r w:rsidRPr="003E0D1C">
              <w:t>elaborazione e realizzazione del Piano di Comunicazione;</w:t>
            </w:r>
          </w:p>
          <w:p w:rsidR="008B6CF1" w:rsidRDefault="008B6CF1" w:rsidP="006373FF">
            <w:pPr>
              <w:numPr>
                <w:ilvl w:val="0"/>
                <w:numId w:val="20"/>
              </w:numPr>
              <w:spacing w:before="60"/>
              <w:ind w:right="125"/>
              <w:jc w:val="both"/>
            </w:pPr>
            <w:r w:rsidRPr="003E0D1C">
              <w:t>Spese sostenute dalla pubblica amministrazione per le attività di preparazione, gestione, sorveglianza, valutazione, informazione e controllo sull’attuazione dei programmi</w:t>
            </w:r>
            <w:r w:rsidR="006373FF">
              <w:t xml:space="preserve">, </w:t>
            </w:r>
            <w:r w:rsidR="006373FF" w:rsidRPr="00EF1BFD">
              <w:t xml:space="preserve">incluse le spese per attività propedeutiche </w:t>
            </w:r>
            <w:r w:rsidR="006373FF">
              <w:t xml:space="preserve">alla certificazione di qualità </w:t>
            </w:r>
            <w:r w:rsidR="006373FF" w:rsidRPr="00EF1BFD">
              <w:t>delle procedure</w:t>
            </w:r>
          </w:p>
          <w:p w:rsidR="006373FF" w:rsidRPr="003E0D1C" w:rsidRDefault="006373FF" w:rsidP="006373FF">
            <w:pPr>
              <w:spacing w:before="60"/>
              <w:ind w:left="720" w:right="125"/>
              <w:jc w:val="both"/>
            </w:pPr>
          </w:p>
        </w:tc>
      </w:tr>
      <w:tr w:rsidR="008B6CF1" w:rsidRPr="003E0D1C" w:rsidTr="00452302">
        <w:tc>
          <w:tcPr>
            <w:tcW w:w="2093" w:type="dxa"/>
            <w:tcBorders>
              <w:top w:val="single" w:sz="4" w:space="0" w:color="auto"/>
              <w:left w:val="single" w:sz="4" w:space="0" w:color="auto"/>
              <w:bottom w:val="single" w:sz="4" w:space="0" w:color="auto"/>
              <w:right w:val="single" w:sz="4" w:space="0" w:color="auto"/>
            </w:tcBorders>
          </w:tcPr>
          <w:p w:rsidR="008B6CF1" w:rsidRPr="003E0D1C" w:rsidRDefault="008B6CF1" w:rsidP="00273BE4">
            <w:pPr>
              <w:spacing w:before="120"/>
              <w:ind w:right="126"/>
              <w:jc w:val="center"/>
            </w:pPr>
            <w:r w:rsidRPr="003E0D1C">
              <w:lastRenderedPageBreak/>
              <w:t>Vincoli e limitazioni</w:t>
            </w:r>
          </w:p>
        </w:tc>
        <w:tc>
          <w:tcPr>
            <w:tcW w:w="8275" w:type="dxa"/>
            <w:tcBorders>
              <w:top w:val="single" w:sz="4" w:space="0" w:color="auto"/>
              <w:left w:val="single" w:sz="4" w:space="0" w:color="auto"/>
              <w:bottom w:val="single" w:sz="4" w:space="0" w:color="auto"/>
              <w:right w:val="single" w:sz="4" w:space="0" w:color="auto"/>
            </w:tcBorders>
          </w:tcPr>
          <w:p w:rsidR="008B6CF1" w:rsidRPr="003E0D1C" w:rsidRDefault="008B6CF1" w:rsidP="00AE5B2B">
            <w:pPr>
              <w:spacing w:before="120"/>
              <w:ind w:right="126"/>
              <w:jc w:val="both"/>
              <w:rPr>
                <w:snapToGrid w:val="0"/>
              </w:rPr>
            </w:pPr>
            <w:r w:rsidRPr="003E0D1C">
              <w:rPr>
                <w:snapToGrid w:val="0"/>
              </w:rPr>
              <w:t>Le spese generali indirette dovranno essere determinate mediante l’applicazione di precisi criteri d’imputazione debitamente giustificati e documentati.</w:t>
            </w:r>
          </w:p>
        </w:tc>
      </w:tr>
    </w:tbl>
    <w:p w:rsidR="009F0250" w:rsidRDefault="009F0250" w:rsidP="00273BE4">
      <w:pPr>
        <w:spacing w:before="120"/>
        <w:ind w:right="126"/>
        <w:jc w:val="both"/>
        <w:rPr>
          <w:snapToGrid w:val="0"/>
        </w:rPr>
      </w:pPr>
    </w:p>
    <w:p w:rsidR="00EE7CA1" w:rsidRDefault="00EE7CA1" w:rsidP="00273BE4">
      <w:pPr>
        <w:spacing w:before="120"/>
        <w:ind w:right="126"/>
        <w:jc w:val="both"/>
        <w:rPr>
          <w:snapToGrid w:val="0"/>
        </w:rPr>
      </w:pPr>
    </w:p>
    <w:p w:rsidR="007B7567" w:rsidRDefault="007B7567" w:rsidP="00273BE4">
      <w:pPr>
        <w:spacing w:before="120"/>
        <w:ind w:right="126"/>
        <w:jc w:val="both"/>
        <w:rPr>
          <w:snapToGrid w:val="0"/>
        </w:rPr>
      </w:pPr>
    </w:p>
    <w:p w:rsidR="007B7567" w:rsidRDefault="007B7567" w:rsidP="00273BE4">
      <w:pPr>
        <w:spacing w:before="120"/>
        <w:ind w:right="126"/>
        <w:jc w:val="both"/>
        <w:rPr>
          <w:snapToGrid w:val="0"/>
        </w:rPr>
      </w:pPr>
    </w:p>
    <w:p w:rsidR="00FC624D" w:rsidRDefault="00FC624D" w:rsidP="00273BE4">
      <w:pPr>
        <w:spacing w:before="120"/>
        <w:ind w:right="126"/>
        <w:jc w:val="both"/>
        <w:rPr>
          <w:snapToGrid w:val="0"/>
        </w:rPr>
      </w:pPr>
    </w:p>
    <w:tbl>
      <w:tblPr>
        <w:tblW w:w="10368" w:type="dxa"/>
        <w:tblLook w:val="01E0" w:firstRow="1" w:lastRow="1" w:firstColumn="1" w:lastColumn="1" w:noHBand="0" w:noVBand="0"/>
      </w:tblPr>
      <w:tblGrid>
        <w:gridCol w:w="2268"/>
        <w:gridCol w:w="8100"/>
      </w:tblGrid>
      <w:tr w:rsidR="00C63A46" w:rsidRPr="003E0D1C" w:rsidTr="0093020D">
        <w:tc>
          <w:tcPr>
            <w:tcW w:w="10368" w:type="dxa"/>
            <w:gridSpan w:val="2"/>
            <w:tcBorders>
              <w:top w:val="single" w:sz="4" w:space="0" w:color="auto"/>
              <w:left w:val="single" w:sz="4" w:space="0" w:color="auto"/>
              <w:bottom w:val="single" w:sz="4" w:space="0" w:color="auto"/>
              <w:right w:val="single" w:sz="4" w:space="0" w:color="auto"/>
            </w:tcBorders>
            <w:shd w:val="clear" w:color="auto" w:fill="FFFFFF"/>
          </w:tcPr>
          <w:p w:rsidR="00C63A46" w:rsidRPr="003E0D1C" w:rsidRDefault="003E0D1C" w:rsidP="00C63A46">
            <w:pPr>
              <w:spacing w:before="120"/>
              <w:ind w:right="126"/>
              <w:jc w:val="center"/>
              <w:outlineLvl w:val="0"/>
              <w:rPr>
                <w:b/>
                <w:bCs/>
                <w:snapToGrid w:val="0"/>
                <w:kern w:val="28"/>
              </w:rPr>
            </w:pPr>
            <w:bookmarkStart w:id="44" w:name="_Toc432090734"/>
            <w:r w:rsidRPr="003E0D1C">
              <w:rPr>
                <w:b/>
                <w:bCs/>
                <w:snapToGrid w:val="0"/>
                <w:kern w:val="28"/>
              </w:rPr>
              <w:t xml:space="preserve">6 </w:t>
            </w:r>
            <w:r w:rsidR="00C63A46" w:rsidRPr="003E0D1C">
              <w:rPr>
                <w:b/>
                <w:bCs/>
                <w:snapToGrid w:val="0"/>
                <w:kern w:val="28"/>
              </w:rPr>
              <w:t>– FONDI DI GARANZIA</w:t>
            </w:r>
            <w:bookmarkEnd w:id="44"/>
          </w:p>
          <w:p w:rsidR="00C63A46" w:rsidRPr="003E0D1C" w:rsidRDefault="00C63A46" w:rsidP="00C63A46">
            <w:pPr>
              <w:spacing w:after="160" w:line="259" w:lineRule="auto"/>
              <w:ind w:right="126"/>
              <w:jc w:val="center"/>
              <w:rPr>
                <w:rFonts w:eastAsia="Calibri"/>
              </w:rPr>
            </w:pPr>
          </w:p>
        </w:tc>
      </w:tr>
      <w:tr w:rsidR="00C63A46" w:rsidRPr="003E0D1C" w:rsidTr="0093020D">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63A46" w:rsidRPr="003E0D1C" w:rsidRDefault="00C63A46" w:rsidP="00C63A46">
            <w:pPr>
              <w:spacing w:after="120" w:line="240" w:lineRule="exact"/>
              <w:ind w:right="126"/>
              <w:jc w:val="center"/>
              <w:rPr>
                <w:rFonts w:eastAsia="Calibri"/>
                <w:lang w:eastAsia="en-US"/>
              </w:rPr>
            </w:pPr>
            <w:r w:rsidRPr="003E0D1C">
              <w:rPr>
                <w:rFonts w:eastAsia="Calibri"/>
                <w:lang w:eastAsia="en-US"/>
              </w:rPr>
              <w:t xml:space="preserve">Riferimenti normativi </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C63A46" w:rsidRPr="003E0D1C" w:rsidRDefault="00C63A46" w:rsidP="00C63A46">
            <w:pPr>
              <w:spacing w:before="120" w:after="160" w:line="259" w:lineRule="auto"/>
              <w:ind w:right="126"/>
              <w:rPr>
                <w:rFonts w:eastAsia="Calibri"/>
                <w:lang w:val="en-US" w:eastAsia="en-US"/>
              </w:rPr>
            </w:pPr>
            <w:r w:rsidRPr="003E0D1C">
              <w:rPr>
                <w:rFonts w:eastAsia="Calibri"/>
                <w:lang w:val="en-US" w:eastAsia="en-US"/>
              </w:rPr>
              <w:t>Reg. (UE) n. 1303/13, artt. 41, 42, 43, 44, 45.</w:t>
            </w:r>
          </w:p>
          <w:p w:rsidR="00C63A46" w:rsidRPr="003E0D1C" w:rsidRDefault="00C63A46" w:rsidP="00C63A46">
            <w:pPr>
              <w:spacing w:before="120" w:after="160" w:line="259" w:lineRule="auto"/>
              <w:ind w:right="126"/>
              <w:rPr>
                <w:rFonts w:eastAsia="Calibri"/>
                <w:lang w:val="en-US" w:eastAsia="en-US"/>
              </w:rPr>
            </w:pPr>
            <w:r w:rsidRPr="003E0D1C">
              <w:rPr>
                <w:rFonts w:eastAsia="Calibri"/>
                <w:lang w:val="en-US" w:eastAsia="en-US"/>
              </w:rPr>
              <w:t>Reg (UE) n. 480/14, artt. 8, 12, 13.</w:t>
            </w:r>
          </w:p>
          <w:p w:rsidR="00C63A46" w:rsidRPr="003E0D1C" w:rsidRDefault="00C63A46" w:rsidP="00C63A46">
            <w:pPr>
              <w:autoSpaceDE w:val="0"/>
              <w:autoSpaceDN w:val="0"/>
              <w:adjustRightInd w:val="0"/>
              <w:spacing w:after="120" w:line="240" w:lineRule="exact"/>
              <w:ind w:right="126"/>
              <w:rPr>
                <w:rFonts w:eastAsia="Calibri"/>
                <w:lang w:val="en-US" w:eastAsia="en-US"/>
              </w:rPr>
            </w:pPr>
          </w:p>
        </w:tc>
      </w:tr>
      <w:tr w:rsidR="00C63A46" w:rsidRPr="003E0D1C" w:rsidTr="0093020D">
        <w:tc>
          <w:tcPr>
            <w:tcW w:w="2268" w:type="dxa"/>
            <w:tcBorders>
              <w:top w:val="single" w:sz="4" w:space="0" w:color="auto"/>
              <w:left w:val="single" w:sz="4" w:space="0" w:color="auto"/>
              <w:bottom w:val="single" w:sz="4" w:space="0" w:color="auto"/>
              <w:right w:val="single" w:sz="4" w:space="0" w:color="auto"/>
            </w:tcBorders>
          </w:tcPr>
          <w:p w:rsidR="00C63A46" w:rsidRPr="003E0D1C" w:rsidRDefault="00C63A46" w:rsidP="00C63A46">
            <w:pPr>
              <w:spacing w:after="120" w:line="240" w:lineRule="exact"/>
              <w:ind w:right="126"/>
              <w:jc w:val="center"/>
              <w:rPr>
                <w:rFonts w:eastAsia="Calibri"/>
                <w:lang w:eastAsia="en-US"/>
              </w:rPr>
            </w:pPr>
            <w:r w:rsidRPr="003E0D1C">
              <w:rPr>
                <w:rFonts w:eastAsia="Calibri"/>
                <w:lang w:eastAsia="en-US"/>
              </w:rPr>
              <w:t>Categorie di spesa eleggibili</w:t>
            </w:r>
          </w:p>
          <w:p w:rsidR="00C63A46" w:rsidRPr="003E0D1C" w:rsidRDefault="00C63A46" w:rsidP="00C63A46">
            <w:pPr>
              <w:spacing w:after="120" w:line="240" w:lineRule="exact"/>
              <w:ind w:right="126"/>
              <w:jc w:val="center"/>
              <w:rPr>
                <w:rFonts w:eastAsia="Calibri"/>
                <w:lang w:eastAsia="en-US"/>
              </w:rPr>
            </w:pPr>
          </w:p>
        </w:tc>
        <w:tc>
          <w:tcPr>
            <w:tcW w:w="8100" w:type="dxa"/>
            <w:tcBorders>
              <w:top w:val="single" w:sz="4" w:space="0" w:color="auto"/>
              <w:left w:val="single" w:sz="4" w:space="0" w:color="auto"/>
              <w:bottom w:val="single" w:sz="4" w:space="0" w:color="auto"/>
              <w:right w:val="single" w:sz="4" w:space="0" w:color="auto"/>
            </w:tcBorders>
          </w:tcPr>
          <w:p w:rsidR="00C63A46" w:rsidRPr="003E0D1C" w:rsidRDefault="00C63A46" w:rsidP="00BE7ABC">
            <w:pPr>
              <w:numPr>
                <w:ilvl w:val="0"/>
                <w:numId w:val="42"/>
              </w:numPr>
              <w:spacing w:before="120" w:after="160" w:line="259" w:lineRule="auto"/>
              <w:ind w:right="126"/>
              <w:rPr>
                <w:rFonts w:eastAsia="Calibri"/>
                <w:lang w:eastAsia="en-US"/>
              </w:rPr>
            </w:pPr>
            <w:r w:rsidRPr="003E0D1C">
              <w:rPr>
                <w:rFonts w:eastAsia="Calibri"/>
                <w:lang w:eastAsia="en-US"/>
              </w:rPr>
              <w:t xml:space="preserve">Art. 42, paragrafo 1, lettera b, reg 1303/2013: </w:t>
            </w:r>
          </w:p>
          <w:p w:rsidR="00C63A46" w:rsidRPr="003E0D1C" w:rsidRDefault="00C63A46" w:rsidP="00C63A46">
            <w:pPr>
              <w:spacing w:before="120" w:after="160" w:line="259" w:lineRule="auto"/>
              <w:ind w:left="720" w:right="126"/>
              <w:rPr>
                <w:rFonts w:eastAsia="Calibri"/>
                <w:lang w:eastAsia="en-US"/>
              </w:rPr>
            </w:pPr>
            <w:r w:rsidRPr="003E0D1C">
              <w:rPr>
                <w:rFonts w:eastAsia="Calibri"/>
                <w:lang w:eastAsia="en-US"/>
              </w:rPr>
              <w:t xml:space="preserve">Il totale delle risorse accantonate a fronte di ciascuna garanzia rilasciata dal fondo nel corso del periodo si ammissibilità delle spese, a copertura del rischio di perdite future attese e inattese. </w:t>
            </w:r>
          </w:p>
          <w:p w:rsidR="00C63A46" w:rsidRPr="003E0D1C" w:rsidRDefault="00C63A46" w:rsidP="00C63A46">
            <w:pPr>
              <w:spacing w:before="120" w:after="160" w:line="259" w:lineRule="auto"/>
              <w:ind w:left="720" w:right="126"/>
              <w:rPr>
                <w:rFonts w:eastAsia="Calibri"/>
                <w:lang w:eastAsia="en-US"/>
              </w:rPr>
            </w:pPr>
            <w:r w:rsidRPr="003E0D1C">
              <w:rPr>
                <w:rFonts w:eastAsia="Calibri"/>
                <w:lang w:eastAsia="en-US"/>
              </w:rPr>
              <w:t>L’importo è determinato sommando il valore iniziale dell’accantonamento relativo a ciascuna garanzia rilasciata, includendo sia i contratti ancora in essere sia quelli giunti a scadenza a seguito del completo rimborso del prestito da parte del destinatario finale o del pagamento della garanzia a seguito di inadempimento del soggetto garantito.</w:t>
            </w:r>
          </w:p>
          <w:p w:rsidR="00C63A46" w:rsidRPr="003E0D1C" w:rsidRDefault="00C63A46" w:rsidP="00BE7ABC">
            <w:pPr>
              <w:numPr>
                <w:ilvl w:val="0"/>
                <w:numId w:val="42"/>
              </w:numPr>
              <w:spacing w:before="120" w:after="160" w:line="259" w:lineRule="auto"/>
              <w:ind w:right="126"/>
              <w:rPr>
                <w:rFonts w:eastAsia="Calibri"/>
                <w:lang w:eastAsia="en-US"/>
              </w:rPr>
            </w:pPr>
            <w:r w:rsidRPr="003E0D1C">
              <w:rPr>
                <w:rFonts w:eastAsia="Calibri"/>
                <w:lang w:eastAsia="en-US"/>
              </w:rPr>
              <w:lastRenderedPageBreak/>
              <w:t xml:space="preserve">Art. 42, paragrafo 1, lettera d, reg 1303/2013: </w:t>
            </w:r>
          </w:p>
          <w:p w:rsidR="00C63A46" w:rsidRPr="003E0D1C" w:rsidRDefault="00C63A46" w:rsidP="00C63A46">
            <w:pPr>
              <w:spacing w:before="120" w:after="160" w:line="259" w:lineRule="auto"/>
              <w:ind w:left="720" w:right="126"/>
              <w:rPr>
                <w:rFonts w:eastAsia="Calibri"/>
                <w:lang w:eastAsia="en-US"/>
              </w:rPr>
            </w:pPr>
            <w:r w:rsidRPr="003E0D1C">
              <w:rPr>
                <w:rFonts w:eastAsia="Calibri"/>
                <w:lang w:eastAsia="en-US"/>
              </w:rPr>
              <w:t>I costi per la gestione dello strumento finanziario costituiscono spese ammissibili e ai sensi dell’articolo 42, paragrafo 5 del reg. 1303/2013, possono essere computati alternativamente in due forme:</w:t>
            </w:r>
          </w:p>
          <w:p w:rsidR="00C63A46" w:rsidRPr="003E0D1C" w:rsidRDefault="00C63A46" w:rsidP="00C63A46">
            <w:pPr>
              <w:spacing w:before="120" w:after="160" w:line="259" w:lineRule="auto"/>
              <w:ind w:left="720" w:right="126"/>
              <w:rPr>
                <w:rFonts w:eastAsia="Calibri"/>
                <w:lang w:eastAsia="en-US"/>
              </w:rPr>
            </w:pPr>
            <w:r w:rsidRPr="003E0D1C">
              <w:rPr>
                <w:rFonts w:eastAsia="Calibri"/>
                <w:lang w:eastAsia="en-US"/>
              </w:rPr>
              <w:t>a)</w:t>
            </w:r>
            <w:r w:rsidRPr="003E0D1C">
              <w:rPr>
                <w:rFonts w:eastAsia="Calibri"/>
                <w:lang w:eastAsia="en-US"/>
              </w:rPr>
              <w:tab/>
              <w:t>Costi di gestione: costi diretti o indiretti rimborsati a fronte di giustificativi di spesa;</w:t>
            </w:r>
          </w:p>
          <w:p w:rsidR="00C63A46" w:rsidRPr="003E0D1C" w:rsidRDefault="00C63A46" w:rsidP="00C63A46">
            <w:pPr>
              <w:spacing w:before="120" w:after="160" w:line="259" w:lineRule="auto"/>
              <w:ind w:left="720" w:right="126"/>
              <w:rPr>
                <w:rFonts w:eastAsia="Calibri"/>
                <w:lang w:eastAsia="en-US"/>
              </w:rPr>
            </w:pPr>
            <w:r w:rsidRPr="003E0D1C">
              <w:rPr>
                <w:rFonts w:eastAsia="Calibri"/>
                <w:lang w:eastAsia="en-US"/>
              </w:rPr>
              <w:t>b)</w:t>
            </w:r>
            <w:r w:rsidRPr="003E0D1C">
              <w:rPr>
                <w:rFonts w:eastAsia="Calibri"/>
                <w:lang w:eastAsia="en-US"/>
              </w:rPr>
              <w:tab/>
              <w:t>Commissioni di gestione: prezzo concordato per i servizi resi dal gestore definiti, se del caso, tramite una procedura competitiva di mercato.</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Con riferimento ai costi di gestione, questi possono includere i costi sostenuti dal gestore del fondo per la preparazione delle decisioni di investimento ed il successivo monitoraggio degli stessi (es. studi tecnici, audit, pareri legali ecc.). Non sono inclusi costi che siano connessi alla preparazione o implementazione dei progetti o piani di investimento individuali dei destinatari finali, quali costi per autorizzazioni, studi di fattibilità tecnica, costi per la gestione del progetto ecc., che costituiscono parte del costo dell’investimento a carico del destinatario finale.</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Le spese per il rilascio della garanzia eventualmente poste a carico del destinatario finale non possono essere incluse nei costi di gestione per evitare che il gestore ottenga un doppio rimborso.</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A titolo di esempio, possono essere considerate spese ammissibili a titolo di costi di gestione:</w:t>
            </w:r>
          </w:p>
          <w:p w:rsidR="00C63A46" w:rsidRPr="003E0D1C" w:rsidRDefault="00C63A46" w:rsidP="00BE7ABC">
            <w:pPr>
              <w:numPr>
                <w:ilvl w:val="0"/>
                <w:numId w:val="40"/>
              </w:numPr>
              <w:spacing w:after="160" w:line="259" w:lineRule="auto"/>
              <w:contextualSpacing/>
              <w:jc w:val="both"/>
              <w:rPr>
                <w:rFonts w:eastAsia="Calibri"/>
                <w:lang w:eastAsia="en-US"/>
              </w:rPr>
            </w:pPr>
            <w:r w:rsidRPr="003E0D1C">
              <w:rPr>
                <w:rFonts w:eastAsia="Calibri"/>
                <w:lang w:eastAsia="en-US"/>
              </w:rPr>
              <w:t>costi di personale, incluse spese di viaggio compresi vitto e alloggio, costo degli uffici, attrezzature, sistemi IT, cancelleria e altri materiali di consumo, direttamente connessi alla gestione e investimento delle risorse PSR versate allo strumento; costi sostenuti per attività quali selezioni e bandi, controlli, monitoraggio e reporting, consulenze, informazione e pubblicità;</w:t>
            </w:r>
          </w:p>
          <w:p w:rsidR="00C63A46" w:rsidRPr="003E0D1C" w:rsidRDefault="00C63A46" w:rsidP="00BE7ABC">
            <w:pPr>
              <w:numPr>
                <w:ilvl w:val="0"/>
                <w:numId w:val="40"/>
              </w:numPr>
              <w:spacing w:after="160" w:line="259" w:lineRule="auto"/>
              <w:contextualSpacing/>
              <w:jc w:val="both"/>
              <w:rPr>
                <w:rFonts w:eastAsia="Calibri"/>
                <w:lang w:eastAsia="en-US"/>
              </w:rPr>
            </w:pPr>
            <w:r w:rsidRPr="003E0D1C">
              <w:rPr>
                <w:rFonts w:eastAsia="Calibri"/>
                <w:lang w:eastAsia="en-US"/>
              </w:rPr>
              <w:t>costi generali del gestore, calcolati sulla base dei costi reali e allocati pro rata alle operazioni PSR sulla base di una metodologia debitamente giustificata, corretta ed equa.</w:t>
            </w:r>
          </w:p>
          <w:p w:rsidR="00C63A46" w:rsidRPr="003E0D1C" w:rsidRDefault="00C63A46" w:rsidP="00C63A46">
            <w:pPr>
              <w:spacing w:before="120" w:after="160" w:line="259" w:lineRule="auto"/>
              <w:ind w:left="709" w:right="126"/>
              <w:rPr>
                <w:rFonts w:eastAsia="Calibri"/>
                <w:lang w:eastAsia="en-US"/>
              </w:rPr>
            </w:pPr>
            <w:r w:rsidRPr="003E0D1C">
              <w:rPr>
                <w:rFonts w:eastAsia="Calibri"/>
                <w:lang w:eastAsia="en-US"/>
              </w:rPr>
              <w:t>In linea generale le spese e commissioni di gestione sono ammissibili a partire dalla data di sottoscrizione dell’Accordo di finanziamento. I costi sostenuti nell’ambito delle attività preparatorie e di implementazione dello strumento, anteriori alla sottoscrizione dell’accordo, sono comunque considerate ammissibili qualora successive alla data della decisione formale con cui il gestore è stato selezionato o individuato dall’Autorità di gestione.</w:t>
            </w:r>
          </w:p>
          <w:p w:rsidR="00C63A46" w:rsidRPr="003E0D1C" w:rsidRDefault="00C63A46" w:rsidP="00C63A46">
            <w:pPr>
              <w:spacing w:before="120" w:after="160" w:line="259" w:lineRule="auto"/>
              <w:ind w:left="720" w:right="126"/>
              <w:rPr>
                <w:rFonts w:eastAsia="Calibri"/>
                <w:lang w:eastAsia="en-US"/>
              </w:rPr>
            </w:pPr>
            <w:r w:rsidRPr="003E0D1C">
              <w:rPr>
                <w:rFonts w:eastAsia="Calibri"/>
                <w:lang w:eastAsia="en-US"/>
              </w:rPr>
              <w:t>Il termine di ammissibilità coincide con il termine ultimo per l’ammissibilità delle spese del Programma.</w:t>
            </w:r>
          </w:p>
          <w:p w:rsidR="00C63A46" w:rsidRPr="003E0D1C" w:rsidRDefault="00C63A46" w:rsidP="00C63A46">
            <w:pPr>
              <w:tabs>
                <w:tab w:val="left" w:pos="1332"/>
              </w:tabs>
              <w:spacing w:before="120" w:after="160" w:line="259" w:lineRule="auto"/>
              <w:ind w:left="720" w:right="126"/>
              <w:jc w:val="both"/>
              <w:rPr>
                <w:rFonts w:eastAsia="Calibri"/>
                <w:highlight w:val="yellow"/>
                <w:lang w:eastAsia="en-US"/>
              </w:rPr>
            </w:pPr>
          </w:p>
        </w:tc>
      </w:tr>
      <w:tr w:rsidR="00C63A46" w:rsidRPr="003E0D1C" w:rsidTr="0093020D">
        <w:tc>
          <w:tcPr>
            <w:tcW w:w="2268" w:type="dxa"/>
            <w:tcBorders>
              <w:top w:val="single" w:sz="4" w:space="0" w:color="auto"/>
              <w:left w:val="single" w:sz="4" w:space="0" w:color="auto"/>
              <w:bottom w:val="single" w:sz="4" w:space="0" w:color="auto"/>
              <w:right w:val="single" w:sz="4" w:space="0" w:color="auto"/>
            </w:tcBorders>
            <w:hideMark/>
          </w:tcPr>
          <w:p w:rsidR="00C63A46" w:rsidRPr="003E0D1C" w:rsidRDefault="00C63A46" w:rsidP="00C63A46">
            <w:pPr>
              <w:spacing w:after="120" w:line="240" w:lineRule="exact"/>
              <w:ind w:right="126"/>
              <w:jc w:val="center"/>
              <w:rPr>
                <w:rFonts w:eastAsia="Calibri"/>
                <w:lang w:eastAsia="en-US"/>
              </w:rPr>
            </w:pPr>
            <w:r w:rsidRPr="003E0D1C">
              <w:rPr>
                <w:rFonts w:eastAsia="Calibri"/>
                <w:lang w:eastAsia="en-US"/>
              </w:rPr>
              <w:lastRenderedPageBreak/>
              <w:t>Vincoli e limitazioni</w:t>
            </w:r>
          </w:p>
        </w:tc>
        <w:tc>
          <w:tcPr>
            <w:tcW w:w="8100" w:type="dxa"/>
            <w:tcBorders>
              <w:top w:val="single" w:sz="4" w:space="0" w:color="auto"/>
              <w:left w:val="single" w:sz="4" w:space="0" w:color="auto"/>
              <w:bottom w:val="single" w:sz="4" w:space="0" w:color="auto"/>
              <w:right w:val="single" w:sz="4" w:space="0" w:color="auto"/>
            </w:tcBorders>
          </w:tcPr>
          <w:p w:rsidR="00C63A46" w:rsidRPr="003E0D1C" w:rsidRDefault="00C63A46" w:rsidP="00C63A46">
            <w:pPr>
              <w:spacing w:before="120" w:after="160" w:line="259" w:lineRule="auto"/>
              <w:ind w:right="126"/>
              <w:rPr>
                <w:rFonts w:eastAsia="Calibri"/>
                <w:lang w:eastAsia="en-US"/>
              </w:rPr>
            </w:pPr>
            <w:r w:rsidRPr="003E0D1C">
              <w:rPr>
                <w:rFonts w:eastAsia="Calibri"/>
                <w:lang w:eastAsia="en-US"/>
              </w:rPr>
              <w:t>Con riferimento alle spese di cui al punto 1:</w:t>
            </w:r>
          </w:p>
          <w:p w:rsidR="00C63A46" w:rsidRPr="003E0D1C" w:rsidRDefault="00C63A46" w:rsidP="00C63A46">
            <w:pPr>
              <w:spacing w:before="120" w:after="160" w:line="259" w:lineRule="auto"/>
              <w:ind w:left="720" w:right="126"/>
              <w:rPr>
                <w:rFonts w:eastAsia="Calibri"/>
                <w:lang w:eastAsia="en-US"/>
              </w:rPr>
            </w:pPr>
            <w:r w:rsidRPr="003E0D1C">
              <w:rPr>
                <w:rFonts w:eastAsia="Calibri"/>
                <w:lang w:eastAsia="en-US"/>
              </w:rPr>
              <w:t>l’entità dell’accantonamento per ciascuna garanzia rilasciata (espressa come percentuale del valore della garanzia) è definito dal gestore del fondo sulla base di una prudente valutazione ex ante del rischio di perdita attesa e inattesa che grava sullo specifico prodotto di garanzia offerto, considerando le specifiche condizioni del mercato di riferimento, la strategia di investimento del fondo, i principi di economicità ed efficienza. La percentuale di accantonamento è condivisa con l’Autorità di gestione e fissata nell’Accordo di finanziamento.</w:t>
            </w:r>
          </w:p>
          <w:p w:rsidR="00C63A46" w:rsidRPr="003E0D1C" w:rsidRDefault="00C63A46" w:rsidP="00C63A46">
            <w:pPr>
              <w:spacing w:before="120" w:after="160" w:line="259" w:lineRule="auto"/>
              <w:ind w:left="709" w:right="126"/>
              <w:jc w:val="both"/>
              <w:rPr>
                <w:rFonts w:eastAsia="Calibri"/>
                <w:snapToGrid w:val="0"/>
                <w:highlight w:val="yellow"/>
                <w:lang w:eastAsia="en-US"/>
              </w:rPr>
            </w:pPr>
            <w:r w:rsidRPr="003E0D1C">
              <w:rPr>
                <w:rFonts w:eastAsia="Calibri"/>
                <w:lang w:eastAsia="en-US"/>
              </w:rPr>
              <w:t>Ai sensi dell’articolo 8 del regolamento 480/2014, l’applicazione della suddetta percentuale di accantonamento si traduce in un coefficiente di moltiplicazione tra l’importo del contributo del PSR al fondo ed il valore totale delle garanzie rilasciate. Qualora, a chiusura del programma, l’importo totale delle garanzie non rispetti il suddetto moltiplicatore, la spesa ammissibile è ridotta in maniera proporzionale.</w:t>
            </w:r>
          </w:p>
          <w:p w:rsidR="00C63A46" w:rsidRPr="003E0D1C" w:rsidRDefault="00C63A46" w:rsidP="00C63A46">
            <w:pPr>
              <w:spacing w:before="120" w:after="160" w:line="259" w:lineRule="auto"/>
              <w:ind w:right="126"/>
              <w:rPr>
                <w:rFonts w:eastAsia="Calibri"/>
                <w:lang w:eastAsia="en-US"/>
              </w:rPr>
            </w:pPr>
            <w:r w:rsidRPr="003E0D1C">
              <w:rPr>
                <w:rFonts w:eastAsia="Calibri"/>
                <w:lang w:eastAsia="en-US"/>
              </w:rPr>
              <w:t>Con riferimento alle spese di cui al punto 2:</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Ai sensi dell’articolo 12 del regolamento delegato 480/2014, i costi o le commissioni riconosciuti al gestore devono essere calcolati sulla base di criteri orientati ai risultati, e in particolare:</w:t>
            </w:r>
          </w:p>
          <w:p w:rsidR="00C63A46" w:rsidRPr="003E0D1C" w:rsidRDefault="00C63A46" w:rsidP="00C63A46">
            <w:pPr>
              <w:spacing w:after="160" w:line="259" w:lineRule="auto"/>
              <w:ind w:left="1416"/>
              <w:jc w:val="both"/>
              <w:rPr>
                <w:rFonts w:eastAsia="Calibri"/>
                <w:lang w:eastAsia="en-US"/>
              </w:rPr>
            </w:pPr>
            <w:r w:rsidRPr="003E0D1C">
              <w:rPr>
                <w:rFonts w:eastAsia="Calibri"/>
                <w:lang w:eastAsia="en-US"/>
              </w:rPr>
              <w:t>a) l'erogazione dei contributi forniti dal programma sostenuto da fondi SIE;</w:t>
            </w:r>
          </w:p>
          <w:p w:rsidR="00C63A46" w:rsidRPr="003E0D1C" w:rsidRDefault="00C63A46" w:rsidP="00C63A46">
            <w:pPr>
              <w:spacing w:after="160" w:line="259" w:lineRule="auto"/>
              <w:ind w:left="1416"/>
              <w:jc w:val="both"/>
              <w:rPr>
                <w:rFonts w:eastAsia="Calibri"/>
                <w:lang w:eastAsia="en-US"/>
              </w:rPr>
            </w:pPr>
            <w:r w:rsidRPr="003E0D1C">
              <w:rPr>
                <w:rFonts w:eastAsia="Calibri"/>
                <w:lang w:eastAsia="en-US"/>
              </w:rPr>
              <w:t>b) le risorse restituite a fronte degli investimenti o dello sblocco delle risorse impegnate per i contratti di garanzia;</w:t>
            </w:r>
          </w:p>
          <w:p w:rsidR="00C63A46" w:rsidRPr="003E0D1C" w:rsidRDefault="00C63A46" w:rsidP="00C63A46">
            <w:pPr>
              <w:spacing w:after="160" w:line="259" w:lineRule="auto"/>
              <w:ind w:left="1416"/>
              <w:jc w:val="both"/>
              <w:rPr>
                <w:rFonts w:eastAsia="Calibri"/>
                <w:lang w:eastAsia="en-US"/>
              </w:rPr>
            </w:pPr>
            <w:r w:rsidRPr="003E0D1C">
              <w:rPr>
                <w:rFonts w:eastAsia="Calibri"/>
                <w:lang w:eastAsia="en-US"/>
              </w:rPr>
              <w:t>c) la qualità delle misure di accompagnamento che precedono e seguono la decisione di investimento per massimizzare l'impatto dell'investimento;</w:t>
            </w:r>
          </w:p>
          <w:p w:rsidR="00C63A46" w:rsidRPr="003E0D1C" w:rsidRDefault="00C63A46" w:rsidP="00C63A46">
            <w:pPr>
              <w:spacing w:after="160" w:line="259" w:lineRule="auto"/>
              <w:ind w:left="1416"/>
              <w:jc w:val="both"/>
              <w:rPr>
                <w:rFonts w:eastAsia="Calibri"/>
                <w:lang w:eastAsia="en-US"/>
              </w:rPr>
            </w:pPr>
            <w:r w:rsidRPr="003E0D1C">
              <w:rPr>
                <w:rFonts w:eastAsia="Calibri"/>
                <w:lang w:eastAsia="en-US"/>
              </w:rPr>
              <w:t>d) il contributo dello strumento finanziario agli obiettivi e agli output del programma.</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 xml:space="preserve">La metodologia per l’applicazione dei suddetti criteri è definita dall’Autorità di gestione ed è inclusa nell’Accordo di finanziamento. </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I Costi e le commissioni di gestione rendicontabili come spese ammissibili sono comunque limitati entro le soglie previste dall’articolo 13, paragrafo 2 del reg. 480/2014.</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Nel caso dei fondi di garanzia è ammessa:</w:t>
            </w:r>
          </w:p>
          <w:p w:rsidR="00C63A46" w:rsidRPr="003E0D1C" w:rsidRDefault="00C63A46" w:rsidP="00BE7ABC">
            <w:pPr>
              <w:numPr>
                <w:ilvl w:val="0"/>
                <w:numId w:val="41"/>
              </w:numPr>
              <w:spacing w:after="160" w:line="254" w:lineRule="auto"/>
              <w:contextualSpacing/>
              <w:jc w:val="both"/>
              <w:rPr>
                <w:rFonts w:eastAsia="Calibri"/>
                <w:lang w:eastAsia="en-US"/>
              </w:rPr>
            </w:pPr>
            <w:r w:rsidRPr="003E0D1C">
              <w:rPr>
                <w:rFonts w:eastAsia="Calibri"/>
                <w:lang w:eastAsia="en-US"/>
              </w:rPr>
              <w:t xml:space="preserve">una remunerazione base, pari allo 0,5 per cento </w:t>
            </w:r>
            <w:r w:rsidR="001C7E34" w:rsidRPr="003E0D1C">
              <w:rPr>
                <w:rFonts w:eastAsia="Calibri"/>
                <w:lang w:eastAsia="en-US"/>
              </w:rPr>
              <w:t xml:space="preserve">l’anno </w:t>
            </w:r>
            <w:r w:rsidRPr="003E0D1C">
              <w:rPr>
                <w:rFonts w:eastAsia="Calibri"/>
                <w:lang w:eastAsia="en-US"/>
              </w:rPr>
              <w:t>dei contributi del programma, secondo un calcolo pro rata temporis dalla data dell’effettivo versamento fino al termine del periodo di ammissibilità delle spese del programma, al rimborso all’Autorità di gestione o alla data di liquidazione a seconda di quale di tali eventi si verifichi per primo;</w:t>
            </w:r>
          </w:p>
          <w:p w:rsidR="00C63A46" w:rsidRPr="003E0D1C" w:rsidRDefault="00C63A46" w:rsidP="00BE7ABC">
            <w:pPr>
              <w:numPr>
                <w:ilvl w:val="0"/>
                <w:numId w:val="41"/>
              </w:numPr>
              <w:spacing w:after="160" w:line="254" w:lineRule="auto"/>
              <w:ind w:left="1418" w:hanging="284"/>
              <w:contextualSpacing/>
              <w:jc w:val="both"/>
              <w:rPr>
                <w:rFonts w:eastAsia="Calibri"/>
                <w:lang w:eastAsia="en-US"/>
              </w:rPr>
            </w:pPr>
            <w:r w:rsidRPr="003E0D1C">
              <w:rPr>
                <w:rFonts w:eastAsia="Calibri"/>
                <w:lang w:eastAsia="en-US"/>
              </w:rPr>
              <w:t xml:space="preserve">una remunerazione basata sui risultati, pari all’1,5 per cento annuo </w:t>
            </w:r>
            <w:r w:rsidRPr="003E0D1C">
              <w:rPr>
                <w:rFonts w:eastAsia="Calibri"/>
                <w:lang w:eastAsia="en-US"/>
              </w:rPr>
              <w:lastRenderedPageBreak/>
              <w:t>dei contributi del programma effettivamente impegnati a fronte di garanzie rilasciate, o degli impegni costituiti utilizzando le risorse liberate a seguito del rimborso dei finanziamenti garantiti da parte dei destinatari finali, secondo un calcolo pro rata temporis, dalla data di impegno fino alla scadenza della garanzia o della conclusione delle procedure di recupero in caso di insolvenza o entro il termine per l’ammissibilità delle spese del programma a seconda di quale di tali eventi si verifichi per primo.</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Ai sensi dell’articolo 13, paragrafo 3, lettera d), del regolamento 480/2014, l’importo complessivo delle commissioni e dei costi di gestione pagati nel periodo di ammissibilità delle spese del programma è comunque limitato al 10 per cento dell’importo complessivo dei contributi versati allo strumento finanziario.</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Il valore totale della spesa ammissibile a titolo di costi o commissioni di gestione a chiusura del programma è quello più basso tra l’ammontare calcolato ai sensi del paragrafo 2 e quello derivante dall’applicazione delle soglie di cui al paragrafo 3 del regolamento 480/2014.</w:t>
            </w:r>
          </w:p>
          <w:p w:rsidR="00C63A46" w:rsidRPr="003E0D1C" w:rsidRDefault="00C63A46" w:rsidP="00C63A46">
            <w:pPr>
              <w:spacing w:after="160" w:line="259" w:lineRule="auto"/>
              <w:ind w:left="708"/>
              <w:jc w:val="both"/>
              <w:rPr>
                <w:rFonts w:eastAsia="Calibri"/>
                <w:lang w:eastAsia="en-US"/>
              </w:rPr>
            </w:pPr>
            <w:r w:rsidRPr="003E0D1C">
              <w:rPr>
                <w:rFonts w:eastAsia="Calibri"/>
                <w:lang w:eastAsia="en-US"/>
              </w:rPr>
              <w:t>Ai sensi dell’articolo 13, paragrafo 6 del regolamento 480/2014, le soglie di cui ai paragrafi 1, 2 e 3 del medesimo articolo possono essere superate nel caso in cui il gestore sia stato selezionato mediante una gara d'appalto conformemente alle norme applicabili e la gara d'appalto abbia dimostrato la necessità di costi e commissioni di gestione più elevati.</w:t>
            </w:r>
          </w:p>
          <w:p w:rsidR="00C63A46" w:rsidRPr="003E0D1C" w:rsidRDefault="00C63A46" w:rsidP="00C63A46">
            <w:pPr>
              <w:spacing w:before="120" w:after="160" w:line="259" w:lineRule="auto"/>
              <w:ind w:right="126"/>
              <w:jc w:val="both"/>
              <w:rPr>
                <w:rFonts w:eastAsia="Calibri"/>
                <w:b/>
                <w:highlight w:val="yellow"/>
                <w:lang w:eastAsia="en-US"/>
              </w:rPr>
            </w:pPr>
          </w:p>
        </w:tc>
      </w:tr>
      <w:tr w:rsidR="00C63A46" w:rsidRPr="003E0D1C" w:rsidTr="0093020D">
        <w:tc>
          <w:tcPr>
            <w:tcW w:w="2268" w:type="dxa"/>
            <w:tcBorders>
              <w:top w:val="single" w:sz="4" w:space="0" w:color="auto"/>
              <w:left w:val="single" w:sz="4" w:space="0" w:color="auto"/>
              <w:bottom w:val="single" w:sz="4" w:space="0" w:color="auto"/>
              <w:right w:val="single" w:sz="4" w:space="0" w:color="auto"/>
            </w:tcBorders>
          </w:tcPr>
          <w:p w:rsidR="00C63A46" w:rsidRPr="003E0D1C" w:rsidRDefault="00C63A46" w:rsidP="00C63A46">
            <w:pPr>
              <w:spacing w:after="120" w:line="240" w:lineRule="exact"/>
              <w:ind w:right="126"/>
              <w:jc w:val="center"/>
              <w:rPr>
                <w:rFonts w:eastAsia="Calibri"/>
                <w:lang w:eastAsia="en-US"/>
              </w:rPr>
            </w:pPr>
          </w:p>
        </w:tc>
        <w:tc>
          <w:tcPr>
            <w:tcW w:w="8100" w:type="dxa"/>
            <w:tcBorders>
              <w:top w:val="single" w:sz="4" w:space="0" w:color="auto"/>
              <w:left w:val="single" w:sz="4" w:space="0" w:color="auto"/>
              <w:bottom w:val="single" w:sz="4" w:space="0" w:color="auto"/>
              <w:right w:val="single" w:sz="4" w:space="0" w:color="auto"/>
            </w:tcBorders>
          </w:tcPr>
          <w:p w:rsidR="00C63A46" w:rsidRPr="003E0D1C" w:rsidRDefault="00C63A46" w:rsidP="00C63A46">
            <w:pPr>
              <w:spacing w:before="120" w:after="160" w:line="259" w:lineRule="auto"/>
              <w:ind w:left="720" w:right="126"/>
              <w:rPr>
                <w:rFonts w:eastAsia="Calibri"/>
                <w:lang w:eastAsia="en-US"/>
              </w:rPr>
            </w:pPr>
          </w:p>
        </w:tc>
      </w:tr>
    </w:tbl>
    <w:p w:rsidR="009F0250" w:rsidRPr="009A72D1" w:rsidRDefault="009F0250" w:rsidP="00273BE4">
      <w:pPr>
        <w:spacing w:after="120"/>
        <w:ind w:right="126"/>
      </w:pPr>
    </w:p>
    <w:p w:rsidR="009F0250" w:rsidRDefault="009F0250" w:rsidP="00273BE4">
      <w:pPr>
        <w:spacing w:after="120"/>
        <w:ind w:right="126"/>
      </w:pPr>
    </w:p>
    <w:p w:rsidR="009F0250" w:rsidRDefault="009F0250" w:rsidP="00273BE4">
      <w:pPr>
        <w:spacing w:after="120"/>
        <w:ind w:right="126"/>
      </w:pPr>
    </w:p>
    <w:p w:rsidR="009F0250" w:rsidRDefault="009F0250" w:rsidP="00273BE4">
      <w:pPr>
        <w:spacing w:after="120"/>
        <w:ind w:right="126"/>
      </w:pPr>
    </w:p>
    <w:p w:rsidR="009F0250" w:rsidRDefault="009F0250" w:rsidP="00273BE4">
      <w:pPr>
        <w:spacing w:after="120"/>
        <w:ind w:right="126"/>
      </w:pPr>
    </w:p>
    <w:tbl>
      <w:tblPr>
        <w:tblW w:w="10368" w:type="dxa"/>
        <w:tblLook w:val="01E0" w:firstRow="1" w:lastRow="1" w:firstColumn="1" w:lastColumn="1" w:noHBand="0" w:noVBand="0"/>
      </w:tblPr>
      <w:tblGrid>
        <w:gridCol w:w="2268"/>
        <w:gridCol w:w="8100"/>
      </w:tblGrid>
      <w:tr w:rsidR="009C2AF7" w:rsidRPr="009C2AF7" w:rsidTr="0093020D">
        <w:tc>
          <w:tcPr>
            <w:tcW w:w="10368" w:type="dxa"/>
            <w:gridSpan w:val="2"/>
            <w:tcBorders>
              <w:top w:val="single" w:sz="4" w:space="0" w:color="auto"/>
              <w:left w:val="single" w:sz="4" w:space="0" w:color="auto"/>
              <w:bottom w:val="single" w:sz="4" w:space="0" w:color="auto"/>
              <w:right w:val="single" w:sz="4" w:space="0" w:color="auto"/>
            </w:tcBorders>
            <w:shd w:val="clear" w:color="auto" w:fill="FFFFFF"/>
          </w:tcPr>
          <w:p w:rsidR="009C2AF7" w:rsidRPr="009C2AF7" w:rsidRDefault="009C2AF7" w:rsidP="009C2AF7">
            <w:pPr>
              <w:autoSpaceDE w:val="0"/>
              <w:autoSpaceDN w:val="0"/>
              <w:adjustRightInd w:val="0"/>
              <w:spacing w:before="120" w:after="160" w:line="259" w:lineRule="auto"/>
              <w:ind w:right="126"/>
              <w:jc w:val="center"/>
              <w:rPr>
                <w:rFonts w:eastAsia="Calibri"/>
                <w:b/>
                <w:snapToGrid w:val="0"/>
                <w:sz w:val="28"/>
                <w:szCs w:val="28"/>
                <w:lang w:eastAsia="en-US"/>
              </w:rPr>
            </w:pPr>
          </w:p>
          <w:p w:rsidR="009C2AF7" w:rsidRPr="009C2AF7" w:rsidRDefault="00611533" w:rsidP="009C2AF7">
            <w:pPr>
              <w:spacing w:before="120"/>
              <w:ind w:right="126"/>
              <w:jc w:val="center"/>
              <w:outlineLvl w:val="0"/>
              <w:rPr>
                <w:b/>
                <w:bCs/>
                <w:snapToGrid w:val="0"/>
                <w:kern w:val="28"/>
                <w:sz w:val="28"/>
                <w:szCs w:val="32"/>
              </w:rPr>
            </w:pPr>
            <w:bookmarkStart w:id="45" w:name="_Toc432090735"/>
            <w:r>
              <w:rPr>
                <w:b/>
                <w:bCs/>
                <w:snapToGrid w:val="0"/>
                <w:kern w:val="28"/>
                <w:sz w:val="28"/>
                <w:szCs w:val="32"/>
              </w:rPr>
              <w:t>7</w:t>
            </w:r>
            <w:r w:rsidRPr="009C2AF7">
              <w:rPr>
                <w:b/>
                <w:bCs/>
                <w:snapToGrid w:val="0"/>
                <w:kern w:val="28"/>
                <w:sz w:val="28"/>
                <w:szCs w:val="32"/>
              </w:rPr>
              <w:t xml:space="preserve"> </w:t>
            </w:r>
            <w:r w:rsidR="009C2AF7" w:rsidRPr="009C2AF7">
              <w:rPr>
                <w:b/>
                <w:bCs/>
                <w:snapToGrid w:val="0"/>
                <w:kern w:val="28"/>
                <w:sz w:val="28"/>
                <w:szCs w:val="32"/>
              </w:rPr>
              <w:t>– FONDI DI CREDITO</w:t>
            </w:r>
            <w:bookmarkEnd w:id="45"/>
          </w:p>
          <w:p w:rsidR="009C2AF7" w:rsidRPr="009C2AF7" w:rsidRDefault="009C2AF7" w:rsidP="009C2AF7">
            <w:pPr>
              <w:spacing w:after="160" w:line="259" w:lineRule="auto"/>
              <w:ind w:right="126"/>
              <w:jc w:val="center"/>
              <w:rPr>
                <w:rFonts w:eastAsia="Calibri"/>
                <w:sz w:val="28"/>
                <w:szCs w:val="28"/>
              </w:rPr>
            </w:pPr>
          </w:p>
        </w:tc>
      </w:tr>
      <w:tr w:rsidR="009C2AF7" w:rsidRPr="009C2AF7" w:rsidTr="0093020D">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9C2AF7" w:rsidRPr="009C2AF7" w:rsidRDefault="009C2AF7" w:rsidP="009C2AF7">
            <w:pPr>
              <w:spacing w:after="120" w:line="240" w:lineRule="exact"/>
              <w:ind w:right="126"/>
              <w:jc w:val="center"/>
              <w:rPr>
                <w:rFonts w:eastAsia="Calibri"/>
                <w:lang w:eastAsia="en-US"/>
              </w:rPr>
            </w:pPr>
            <w:r w:rsidRPr="009C2AF7">
              <w:rPr>
                <w:rFonts w:eastAsia="Calibri"/>
                <w:sz w:val="22"/>
                <w:szCs w:val="22"/>
                <w:lang w:eastAsia="en-US"/>
              </w:rPr>
              <w:t xml:space="preserve">Riferimenti normativi </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9C2AF7" w:rsidRPr="009C2AF7" w:rsidRDefault="009C2AF7" w:rsidP="009C2AF7">
            <w:pPr>
              <w:spacing w:before="120" w:after="160" w:line="259" w:lineRule="auto"/>
              <w:ind w:right="126"/>
              <w:rPr>
                <w:rFonts w:eastAsia="Calibri"/>
                <w:sz w:val="20"/>
                <w:szCs w:val="20"/>
                <w:lang w:val="en-US" w:eastAsia="en-US"/>
              </w:rPr>
            </w:pPr>
            <w:r w:rsidRPr="009C2AF7">
              <w:rPr>
                <w:rFonts w:eastAsia="Calibri"/>
                <w:sz w:val="20"/>
                <w:szCs w:val="20"/>
                <w:lang w:val="en-US" w:eastAsia="en-US"/>
              </w:rPr>
              <w:t>Reg. (UE) n. 1303/13, artt. 41, 42, 43, 44, 45.</w:t>
            </w:r>
          </w:p>
          <w:p w:rsidR="009C2AF7" w:rsidRPr="009C2AF7" w:rsidRDefault="009C2AF7" w:rsidP="009C2AF7">
            <w:pPr>
              <w:spacing w:before="120" w:after="160" w:line="259" w:lineRule="auto"/>
              <w:ind w:right="126"/>
              <w:rPr>
                <w:rFonts w:eastAsia="Calibri"/>
                <w:sz w:val="20"/>
                <w:szCs w:val="20"/>
                <w:lang w:eastAsia="en-US"/>
              </w:rPr>
            </w:pPr>
            <w:r w:rsidRPr="009C2AF7">
              <w:rPr>
                <w:rFonts w:eastAsia="Calibri"/>
                <w:sz w:val="20"/>
                <w:szCs w:val="20"/>
                <w:lang w:val="en-US" w:eastAsia="en-US"/>
              </w:rPr>
              <w:t xml:space="preserve">Reg (UE) n. 480/14, artt. </w:t>
            </w:r>
            <w:r w:rsidRPr="009C2AF7">
              <w:rPr>
                <w:rFonts w:eastAsia="Calibri"/>
                <w:sz w:val="20"/>
                <w:szCs w:val="20"/>
                <w:lang w:eastAsia="en-US"/>
              </w:rPr>
              <w:t>12 e 13.</w:t>
            </w:r>
          </w:p>
          <w:p w:rsidR="009C2AF7" w:rsidRPr="009C2AF7" w:rsidRDefault="009C2AF7" w:rsidP="009C2AF7">
            <w:pPr>
              <w:autoSpaceDE w:val="0"/>
              <w:autoSpaceDN w:val="0"/>
              <w:adjustRightInd w:val="0"/>
              <w:spacing w:after="120" w:line="240" w:lineRule="exact"/>
              <w:ind w:right="126"/>
              <w:rPr>
                <w:rFonts w:eastAsia="Calibri"/>
                <w:sz w:val="36"/>
                <w:szCs w:val="36"/>
                <w:lang w:eastAsia="en-US"/>
              </w:rPr>
            </w:pPr>
          </w:p>
        </w:tc>
      </w:tr>
      <w:tr w:rsidR="009C2AF7" w:rsidRPr="009C2AF7" w:rsidTr="0093020D">
        <w:tc>
          <w:tcPr>
            <w:tcW w:w="2268" w:type="dxa"/>
            <w:tcBorders>
              <w:top w:val="single" w:sz="4" w:space="0" w:color="auto"/>
              <w:left w:val="single" w:sz="4" w:space="0" w:color="auto"/>
              <w:bottom w:val="single" w:sz="4" w:space="0" w:color="auto"/>
              <w:right w:val="single" w:sz="4" w:space="0" w:color="auto"/>
            </w:tcBorders>
          </w:tcPr>
          <w:p w:rsidR="009C2AF7" w:rsidRPr="009C2AF7" w:rsidRDefault="009C2AF7" w:rsidP="009C2AF7">
            <w:pPr>
              <w:spacing w:after="120" w:line="240" w:lineRule="exact"/>
              <w:ind w:right="126"/>
              <w:jc w:val="center"/>
              <w:rPr>
                <w:rFonts w:eastAsia="Calibri"/>
                <w:lang w:eastAsia="en-US"/>
              </w:rPr>
            </w:pPr>
            <w:r w:rsidRPr="009C2AF7">
              <w:rPr>
                <w:rFonts w:eastAsia="Calibri"/>
                <w:sz w:val="22"/>
                <w:szCs w:val="22"/>
                <w:lang w:eastAsia="en-US"/>
              </w:rPr>
              <w:t>Categorie di spesa eleggibili</w:t>
            </w:r>
          </w:p>
          <w:p w:rsidR="009C2AF7" w:rsidRPr="009C2AF7" w:rsidRDefault="009C2AF7" w:rsidP="009C2AF7">
            <w:pPr>
              <w:spacing w:after="120" w:line="240" w:lineRule="exact"/>
              <w:ind w:right="126"/>
              <w:jc w:val="center"/>
              <w:rPr>
                <w:rFonts w:eastAsia="Calibri"/>
                <w:sz w:val="22"/>
                <w:szCs w:val="22"/>
                <w:lang w:eastAsia="en-US"/>
              </w:rPr>
            </w:pPr>
          </w:p>
        </w:tc>
        <w:tc>
          <w:tcPr>
            <w:tcW w:w="8100" w:type="dxa"/>
            <w:tcBorders>
              <w:top w:val="single" w:sz="4" w:space="0" w:color="auto"/>
              <w:left w:val="single" w:sz="4" w:space="0" w:color="auto"/>
              <w:bottom w:val="single" w:sz="4" w:space="0" w:color="auto"/>
              <w:right w:val="single" w:sz="4" w:space="0" w:color="auto"/>
            </w:tcBorders>
          </w:tcPr>
          <w:p w:rsidR="009C2AF7" w:rsidRPr="009C2AF7" w:rsidRDefault="009C2AF7" w:rsidP="00BE7ABC">
            <w:pPr>
              <w:numPr>
                <w:ilvl w:val="0"/>
                <w:numId w:val="43"/>
              </w:numPr>
              <w:spacing w:before="120" w:after="160" w:line="259" w:lineRule="auto"/>
              <w:ind w:right="126"/>
              <w:rPr>
                <w:rFonts w:eastAsia="Calibri"/>
                <w:sz w:val="22"/>
                <w:szCs w:val="22"/>
                <w:lang w:eastAsia="en-US"/>
              </w:rPr>
            </w:pPr>
            <w:r w:rsidRPr="009C2AF7">
              <w:rPr>
                <w:rFonts w:eastAsia="Calibri"/>
                <w:sz w:val="22"/>
                <w:szCs w:val="22"/>
                <w:lang w:eastAsia="en-US"/>
              </w:rPr>
              <w:t xml:space="preserve">Art. 42, paragrafo 1, lettera a, reg 1303/2013: </w:t>
            </w:r>
          </w:p>
          <w:p w:rsidR="009C2AF7" w:rsidRPr="009C2AF7" w:rsidRDefault="009C2AF7" w:rsidP="009C2AF7">
            <w:pPr>
              <w:spacing w:before="120"/>
              <w:ind w:left="720" w:right="126"/>
              <w:rPr>
                <w:rFonts w:eastAsia="Calibri"/>
                <w:sz w:val="22"/>
                <w:szCs w:val="22"/>
                <w:lang w:eastAsia="en-US"/>
              </w:rPr>
            </w:pPr>
            <w:r w:rsidRPr="009C2AF7">
              <w:rPr>
                <w:rFonts w:eastAsia="Calibri"/>
                <w:sz w:val="22"/>
                <w:szCs w:val="22"/>
                <w:lang w:eastAsia="en-US"/>
              </w:rPr>
              <w:t>Il valore totale dei prestiti rilasciati ai destinatari finali.</w:t>
            </w:r>
          </w:p>
          <w:p w:rsidR="009C2AF7" w:rsidRPr="009C2AF7" w:rsidRDefault="009C2AF7" w:rsidP="00BE7ABC">
            <w:pPr>
              <w:numPr>
                <w:ilvl w:val="0"/>
                <w:numId w:val="42"/>
              </w:numPr>
              <w:spacing w:before="120" w:after="160" w:line="259" w:lineRule="auto"/>
              <w:ind w:right="126"/>
              <w:rPr>
                <w:rFonts w:eastAsia="Calibri"/>
                <w:sz w:val="22"/>
                <w:szCs w:val="22"/>
                <w:lang w:eastAsia="en-US"/>
              </w:rPr>
            </w:pPr>
            <w:r w:rsidRPr="009C2AF7">
              <w:rPr>
                <w:rFonts w:eastAsia="Calibri"/>
                <w:sz w:val="22"/>
                <w:szCs w:val="22"/>
                <w:lang w:eastAsia="en-US"/>
              </w:rPr>
              <w:t xml:space="preserve">Art. 42, paragrafo 1, lettera d, reg 1303/2013: </w:t>
            </w:r>
          </w:p>
          <w:p w:rsidR="009C2AF7" w:rsidRPr="009C2AF7" w:rsidRDefault="009C2AF7" w:rsidP="009C2AF7">
            <w:pPr>
              <w:spacing w:before="120" w:after="160" w:line="259" w:lineRule="auto"/>
              <w:ind w:left="720" w:right="126"/>
              <w:rPr>
                <w:rFonts w:eastAsia="Calibri"/>
                <w:sz w:val="22"/>
                <w:szCs w:val="22"/>
                <w:lang w:eastAsia="en-US"/>
              </w:rPr>
            </w:pPr>
            <w:r w:rsidRPr="009C2AF7">
              <w:rPr>
                <w:rFonts w:eastAsia="Calibri"/>
                <w:sz w:val="22"/>
                <w:szCs w:val="22"/>
                <w:lang w:eastAsia="en-US"/>
              </w:rPr>
              <w:lastRenderedPageBreak/>
              <w:t>I costi per la gestione dello strumento finanziario costituiscono spese ammissibili e ai sensi dell’articolo 42, paragrafo 5 del reg. 1303/2013, possono essere computati alternativamente in due forme:</w:t>
            </w:r>
          </w:p>
          <w:p w:rsidR="009C2AF7" w:rsidRPr="009C2AF7" w:rsidRDefault="009C2AF7" w:rsidP="009C2AF7">
            <w:pPr>
              <w:spacing w:before="120" w:after="160" w:line="259" w:lineRule="auto"/>
              <w:ind w:left="720" w:right="126"/>
              <w:rPr>
                <w:rFonts w:eastAsia="Calibri"/>
                <w:sz w:val="22"/>
                <w:szCs w:val="22"/>
                <w:lang w:eastAsia="en-US"/>
              </w:rPr>
            </w:pPr>
            <w:r w:rsidRPr="009C2AF7">
              <w:rPr>
                <w:rFonts w:eastAsia="Calibri"/>
                <w:sz w:val="22"/>
                <w:szCs w:val="22"/>
                <w:lang w:eastAsia="en-US"/>
              </w:rPr>
              <w:t>a)</w:t>
            </w:r>
            <w:r w:rsidRPr="009C2AF7">
              <w:rPr>
                <w:rFonts w:eastAsia="Calibri"/>
                <w:sz w:val="22"/>
                <w:szCs w:val="22"/>
                <w:lang w:eastAsia="en-US"/>
              </w:rPr>
              <w:tab/>
              <w:t>Costi di gestione: costi diretti o indiretti rimborsati a fronte di giustificativi di spesa;</w:t>
            </w:r>
          </w:p>
          <w:p w:rsidR="009C2AF7" w:rsidRPr="009C2AF7" w:rsidRDefault="009C2AF7" w:rsidP="009C2AF7">
            <w:pPr>
              <w:spacing w:before="120" w:after="160" w:line="259" w:lineRule="auto"/>
              <w:ind w:left="720" w:right="126"/>
              <w:rPr>
                <w:rFonts w:eastAsia="Calibri"/>
                <w:sz w:val="22"/>
                <w:szCs w:val="22"/>
                <w:lang w:eastAsia="en-US"/>
              </w:rPr>
            </w:pPr>
            <w:r w:rsidRPr="009C2AF7">
              <w:rPr>
                <w:rFonts w:eastAsia="Calibri"/>
                <w:sz w:val="22"/>
                <w:szCs w:val="22"/>
                <w:lang w:eastAsia="en-US"/>
              </w:rPr>
              <w:t>b)</w:t>
            </w:r>
            <w:r w:rsidRPr="009C2AF7">
              <w:rPr>
                <w:rFonts w:eastAsia="Calibri"/>
                <w:sz w:val="22"/>
                <w:szCs w:val="22"/>
                <w:lang w:eastAsia="en-US"/>
              </w:rPr>
              <w:tab/>
              <w:t>Commissioni di gestione: prezzo concordato per i servizi resi dal gestore definiti, se del caso, tramite una procedura competitiva di mercato.</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Con riferimento ai costi di gestione, questi possono includere i costi sostenuti dal gestore del fondo per la preparazione delle decisioni di investimento ed il successivo monitoraggio degli stessi (es. studi tecnici, audit, pareri legali ecc.). Non sono inclusi costi che siano connessi alla preparazione o implementazione dei progetti o piani di investimento individuali dei destinatari finali, quali costi per autorizzazioni, studi di fattibilità tecnica, costi per la gestione del progetto ecc., che costituiscono parte del costo dell’investimento a carico del destinatario finale.</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Le spese per il rilascio del prestito eventualmente poste a carico del destinatario finale non possono essere incluse nei costi di gestione per evitare che il gestore ottenga un doppio rimborso.</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A titolo di esempio, possono essere considerate spese ammissibili a titolo di costi di gestione:</w:t>
            </w:r>
          </w:p>
          <w:p w:rsidR="009C2AF7" w:rsidRPr="009C2AF7" w:rsidRDefault="009C2AF7" w:rsidP="00BE7ABC">
            <w:pPr>
              <w:numPr>
                <w:ilvl w:val="0"/>
                <w:numId w:val="40"/>
              </w:numPr>
              <w:spacing w:after="160" w:line="259" w:lineRule="auto"/>
              <w:contextualSpacing/>
              <w:jc w:val="both"/>
              <w:rPr>
                <w:rFonts w:eastAsia="Calibri"/>
                <w:sz w:val="22"/>
                <w:szCs w:val="22"/>
                <w:lang w:eastAsia="en-US"/>
              </w:rPr>
            </w:pPr>
            <w:r w:rsidRPr="009C2AF7">
              <w:rPr>
                <w:rFonts w:eastAsia="Calibri"/>
                <w:sz w:val="22"/>
                <w:szCs w:val="22"/>
                <w:lang w:eastAsia="en-US"/>
              </w:rPr>
              <w:t>costi di personale, incluse spese di viaggio compresi vitto e alloggio, costo degli uffici, attrezzature, sistemi IT, cancelleria e altri materiali di consumo, direttamente connessi alla gestione e investimento delle risorse PSR versate allo strumento; costi sostenuti per attività quali selezioni e bandi, controlli, monitoraggio e reporting, consulenze, informazione e pubblicità;</w:t>
            </w:r>
          </w:p>
          <w:p w:rsidR="009C2AF7" w:rsidRPr="009C2AF7" w:rsidRDefault="009C2AF7" w:rsidP="00BE7ABC">
            <w:pPr>
              <w:numPr>
                <w:ilvl w:val="0"/>
                <w:numId w:val="40"/>
              </w:numPr>
              <w:spacing w:after="160" w:line="259" w:lineRule="auto"/>
              <w:contextualSpacing/>
              <w:jc w:val="both"/>
              <w:rPr>
                <w:rFonts w:eastAsia="Calibri"/>
                <w:sz w:val="22"/>
                <w:szCs w:val="22"/>
                <w:lang w:eastAsia="en-US"/>
              </w:rPr>
            </w:pPr>
            <w:r w:rsidRPr="009C2AF7">
              <w:rPr>
                <w:rFonts w:eastAsia="Calibri"/>
                <w:sz w:val="22"/>
                <w:szCs w:val="22"/>
                <w:lang w:eastAsia="en-US"/>
              </w:rPr>
              <w:t>costi generali del gestore, calcolati sulla base dei costi reali e allocati pro rata alle operazioni PSR sulla base di una metodologia debitamente giustificata, corretta ed equa.</w:t>
            </w:r>
          </w:p>
          <w:p w:rsidR="009C2AF7" w:rsidRPr="009C2AF7" w:rsidRDefault="009C2AF7" w:rsidP="009C2AF7">
            <w:pPr>
              <w:spacing w:before="120" w:after="160" w:line="259" w:lineRule="auto"/>
              <w:ind w:left="709" w:right="126"/>
              <w:rPr>
                <w:rFonts w:eastAsia="Calibri"/>
                <w:sz w:val="22"/>
                <w:szCs w:val="22"/>
                <w:lang w:eastAsia="en-US"/>
              </w:rPr>
            </w:pPr>
            <w:r w:rsidRPr="009C2AF7">
              <w:rPr>
                <w:rFonts w:eastAsia="Calibri"/>
                <w:sz w:val="22"/>
                <w:szCs w:val="22"/>
                <w:lang w:eastAsia="en-US"/>
              </w:rPr>
              <w:t>In linea generale le spese e commissioni di gestione sono ammissibili a partire dalla data di sottoscrizione dell’Accordo di finanziamento. I costi sostenuti nell’ambito delle attività preparatorie e di implementazione dello strumento, anteriori alla sottoscrizione dell’accordo, sono comunque considerate ammissibili qualora successive alla data della decisione formale con cui il gestore è stato selezionato o individuato dall’Autorità di gestione.</w:t>
            </w:r>
          </w:p>
          <w:p w:rsidR="009C2AF7" w:rsidRPr="009C2AF7" w:rsidRDefault="009C2AF7" w:rsidP="009C2AF7">
            <w:pPr>
              <w:spacing w:before="120" w:after="160" w:line="259" w:lineRule="auto"/>
              <w:ind w:left="720" w:right="126"/>
              <w:rPr>
                <w:rFonts w:eastAsia="Calibri"/>
                <w:sz w:val="22"/>
                <w:szCs w:val="22"/>
                <w:highlight w:val="yellow"/>
                <w:lang w:eastAsia="en-US"/>
              </w:rPr>
            </w:pPr>
            <w:r w:rsidRPr="009C2AF7">
              <w:rPr>
                <w:rFonts w:eastAsia="Calibri"/>
                <w:sz w:val="22"/>
                <w:szCs w:val="22"/>
                <w:lang w:eastAsia="en-US"/>
              </w:rPr>
              <w:t>Il termine di ammissibilità coincide con il termine ultimo per l’ammissibilità delle spese del Programma.</w:t>
            </w:r>
          </w:p>
        </w:tc>
      </w:tr>
      <w:tr w:rsidR="009C2AF7" w:rsidRPr="009C2AF7" w:rsidTr="0093020D">
        <w:tc>
          <w:tcPr>
            <w:tcW w:w="2268" w:type="dxa"/>
            <w:tcBorders>
              <w:top w:val="single" w:sz="4" w:space="0" w:color="auto"/>
              <w:left w:val="single" w:sz="4" w:space="0" w:color="auto"/>
              <w:bottom w:val="single" w:sz="4" w:space="0" w:color="auto"/>
              <w:right w:val="single" w:sz="4" w:space="0" w:color="auto"/>
            </w:tcBorders>
            <w:hideMark/>
          </w:tcPr>
          <w:p w:rsidR="009C2AF7" w:rsidRPr="009C2AF7" w:rsidRDefault="009C2AF7" w:rsidP="009C2AF7">
            <w:pPr>
              <w:spacing w:after="120" w:line="240" w:lineRule="exact"/>
              <w:ind w:right="126"/>
              <w:jc w:val="center"/>
              <w:rPr>
                <w:rFonts w:eastAsia="Calibri"/>
                <w:sz w:val="22"/>
                <w:szCs w:val="22"/>
                <w:lang w:eastAsia="en-US"/>
              </w:rPr>
            </w:pPr>
            <w:r w:rsidRPr="009C2AF7">
              <w:rPr>
                <w:rFonts w:eastAsia="Calibri"/>
                <w:sz w:val="22"/>
                <w:szCs w:val="22"/>
                <w:lang w:eastAsia="en-US"/>
              </w:rPr>
              <w:lastRenderedPageBreak/>
              <w:t>Vincoli e limitazioni</w:t>
            </w:r>
          </w:p>
        </w:tc>
        <w:tc>
          <w:tcPr>
            <w:tcW w:w="8100" w:type="dxa"/>
            <w:tcBorders>
              <w:top w:val="single" w:sz="4" w:space="0" w:color="auto"/>
              <w:left w:val="single" w:sz="4" w:space="0" w:color="auto"/>
              <w:bottom w:val="single" w:sz="4" w:space="0" w:color="auto"/>
              <w:right w:val="single" w:sz="4" w:space="0" w:color="auto"/>
            </w:tcBorders>
          </w:tcPr>
          <w:p w:rsidR="009C2AF7" w:rsidRPr="009C2AF7" w:rsidRDefault="009C2AF7" w:rsidP="009C2AF7">
            <w:pPr>
              <w:spacing w:before="120" w:after="160" w:line="259" w:lineRule="auto"/>
              <w:ind w:right="126"/>
              <w:rPr>
                <w:rFonts w:eastAsia="Calibri"/>
                <w:sz w:val="22"/>
                <w:szCs w:val="22"/>
                <w:lang w:eastAsia="en-US"/>
              </w:rPr>
            </w:pPr>
            <w:r w:rsidRPr="009C2AF7">
              <w:rPr>
                <w:rFonts w:eastAsia="Calibri"/>
                <w:sz w:val="22"/>
                <w:szCs w:val="22"/>
                <w:lang w:eastAsia="en-US"/>
              </w:rPr>
              <w:t>Con riferimento alle spese di cui al punto 2:</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Ai sensi dell’articolo 12 del regolamento delegato 480/2014, i costi o le commissioni riconosciuti al gestore devono essere calcolati sulla base di criteri orientati ai risultati, e in particolare:</w:t>
            </w:r>
          </w:p>
          <w:p w:rsidR="009C2AF7" w:rsidRPr="009C2AF7" w:rsidRDefault="009C2AF7" w:rsidP="009C2AF7">
            <w:pPr>
              <w:spacing w:after="160" w:line="259" w:lineRule="auto"/>
              <w:ind w:left="1416"/>
              <w:jc w:val="both"/>
              <w:rPr>
                <w:rFonts w:eastAsia="Calibri"/>
                <w:lang w:eastAsia="en-US"/>
              </w:rPr>
            </w:pPr>
            <w:r w:rsidRPr="009C2AF7">
              <w:rPr>
                <w:rFonts w:eastAsia="Calibri"/>
                <w:sz w:val="22"/>
                <w:szCs w:val="22"/>
                <w:lang w:eastAsia="en-US"/>
              </w:rPr>
              <w:t>a) l'erogazione dei contributi forniti dal programma sostenuto da fondi SIE;</w:t>
            </w:r>
          </w:p>
          <w:p w:rsidR="009C2AF7" w:rsidRPr="009C2AF7" w:rsidRDefault="009C2AF7" w:rsidP="009C2AF7">
            <w:pPr>
              <w:spacing w:after="160" w:line="259" w:lineRule="auto"/>
              <w:ind w:left="1416"/>
              <w:jc w:val="both"/>
              <w:rPr>
                <w:rFonts w:eastAsia="Calibri"/>
                <w:sz w:val="22"/>
                <w:szCs w:val="22"/>
                <w:lang w:eastAsia="en-US"/>
              </w:rPr>
            </w:pPr>
            <w:r w:rsidRPr="009C2AF7">
              <w:rPr>
                <w:rFonts w:eastAsia="Calibri"/>
                <w:sz w:val="22"/>
                <w:szCs w:val="22"/>
                <w:lang w:eastAsia="en-US"/>
              </w:rPr>
              <w:t xml:space="preserve">b) le risorse restituite a fronte degli investimenti o dello sblocco delle </w:t>
            </w:r>
            <w:r w:rsidRPr="009C2AF7">
              <w:rPr>
                <w:rFonts w:eastAsia="Calibri"/>
                <w:sz w:val="22"/>
                <w:szCs w:val="22"/>
                <w:lang w:eastAsia="en-US"/>
              </w:rPr>
              <w:lastRenderedPageBreak/>
              <w:t>risorse impegnate per i contratti di garanzia;</w:t>
            </w:r>
          </w:p>
          <w:p w:rsidR="009C2AF7" w:rsidRPr="009C2AF7" w:rsidRDefault="009C2AF7" w:rsidP="009C2AF7">
            <w:pPr>
              <w:spacing w:after="160" w:line="259" w:lineRule="auto"/>
              <w:ind w:left="1416"/>
              <w:jc w:val="both"/>
              <w:rPr>
                <w:rFonts w:eastAsia="Calibri"/>
                <w:sz w:val="22"/>
                <w:szCs w:val="22"/>
                <w:lang w:eastAsia="en-US"/>
              </w:rPr>
            </w:pPr>
            <w:r w:rsidRPr="009C2AF7">
              <w:rPr>
                <w:rFonts w:eastAsia="Calibri"/>
                <w:sz w:val="22"/>
                <w:szCs w:val="22"/>
                <w:lang w:eastAsia="en-US"/>
              </w:rPr>
              <w:t>c) la qualità delle misure di accompagnamento che precedono e seguono la decisione di investimento per massimizzare l'impatto dell'investimento;</w:t>
            </w:r>
          </w:p>
          <w:p w:rsidR="009C2AF7" w:rsidRPr="009C2AF7" w:rsidRDefault="009C2AF7" w:rsidP="009C2AF7">
            <w:pPr>
              <w:spacing w:after="160" w:line="259" w:lineRule="auto"/>
              <w:ind w:left="1416"/>
              <w:jc w:val="both"/>
              <w:rPr>
                <w:rFonts w:eastAsia="Calibri"/>
                <w:sz w:val="22"/>
                <w:szCs w:val="22"/>
                <w:lang w:eastAsia="en-US"/>
              </w:rPr>
            </w:pPr>
            <w:r w:rsidRPr="009C2AF7">
              <w:rPr>
                <w:rFonts w:eastAsia="Calibri"/>
                <w:sz w:val="22"/>
                <w:szCs w:val="22"/>
                <w:lang w:eastAsia="en-US"/>
              </w:rPr>
              <w:t>d) il contributo dello strumento finanziario agli obiettivi e agli output del programma.</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 xml:space="preserve">La metodologia per l’applicazione dei suddetti criteri è definita dall’Autorità di gestione ed è inclusa nell’Accordo di finanziamento. </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I Costi e le commissioni di gestione rendicontabili come spese ammissibili sono comunque limitati entro le soglie previste dall’articolo 13, paragrafo 2 del reg. 480/2014.</w:t>
            </w:r>
          </w:p>
          <w:p w:rsidR="009C2AF7" w:rsidRPr="009C2AF7" w:rsidRDefault="00071ED3" w:rsidP="009C2AF7">
            <w:pPr>
              <w:spacing w:after="160" w:line="259" w:lineRule="auto"/>
              <w:ind w:left="708"/>
              <w:jc w:val="both"/>
              <w:rPr>
                <w:rFonts w:eastAsia="Calibri"/>
                <w:sz w:val="22"/>
                <w:szCs w:val="22"/>
                <w:lang w:eastAsia="en-US"/>
              </w:rPr>
            </w:pPr>
            <w:r>
              <w:rPr>
                <w:rFonts w:eastAsia="Calibri"/>
                <w:sz w:val="22"/>
                <w:szCs w:val="22"/>
                <w:lang w:eastAsia="en-US"/>
              </w:rPr>
              <w:t>Nel caso dei fondi di credito</w:t>
            </w:r>
            <w:r w:rsidR="009C2AF7" w:rsidRPr="009C2AF7">
              <w:rPr>
                <w:rFonts w:eastAsia="Calibri"/>
                <w:sz w:val="22"/>
                <w:szCs w:val="22"/>
                <w:lang w:eastAsia="en-US"/>
              </w:rPr>
              <w:t xml:space="preserve"> è ammessa:</w:t>
            </w:r>
          </w:p>
          <w:p w:rsidR="009C2AF7" w:rsidRPr="009C2AF7" w:rsidRDefault="009C2AF7" w:rsidP="00BE7ABC">
            <w:pPr>
              <w:numPr>
                <w:ilvl w:val="0"/>
                <w:numId w:val="41"/>
              </w:numPr>
              <w:spacing w:after="160" w:line="254" w:lineRule="auto"/>
              <w:contextualSpacing/>
              <w:jc w:val="both"/>
              <w:rPr>
                <w:rFonts w:eastAsia="Calibri"/>
                <w:sz w:val="22"/>
                <w:szCs w:val="22"/>
                <w:lang w:eastAsia="en-US"/>
              </w:rPr>
            </w:pPr>
            <w:r w:rsidRPr="009C2AF7">
              <w:rPr>
                <w:rFonts w:eastAsia="Calibri"/>
                <w:sz w:val="22"/>
                <w:szCs w:val="22"/>
                <w:lang w:eastAsia="en-US"/>
              </w:rPr>
              <w:t xml:space="preserve">una remunerazione base, pari allo 0,5 per cento </w:t>
            </w:r>
            <w:r w:rsidR="006F39D0">
              <w:rPr>
                <w:rFonts w:eastAsia="Calibri"/>
                <w:sz w:val="22"/>
                <w:szCs w:val="22"/>
                <w:lang w:eastAsia="en-US"/>
              </w:rPr>
              <w:t xml:space="preserve">l’anno </w:t>
            </w:r>
            <w:r w:rsidRPr="009C2AF7">
              <w:rPr>
                <w:rFonts w:eastAsia="Calibri"/>
                <w:sz w:val="22"/>
                <w:szCs w:val="22"/>
                <w:lang w:eastAsia="en-US"/>
              </w:rPr>
              <w:t>dei contributi del programma, secondo un calcolo pro rata temporis dalla data dell’effettivo versamento fino al termine del periodo di ammissibilità delle spese del programma, al rimborso all’autorità di gestione o alla data di liquidazione a seconda di quale di questi eventi si verifichi per primo;</w:t>
            </w:r>
          </w:p>
          <w:p w:rsidR="009C2AF7" w:rsidRPr="009C2AF7" w:rsidRDefault="009C2AF7" w:rsidP="00BE7ABC">
            <w:pPr>
              <w:numPr>
                <w:ilvl w:val="0"/>
                <w:numId w:val="41"/>
              </w:numPr>
              <w:spacing w:after="160" w:line="254" w:lineRule="auto"/>
              <w:ind w:left="1418" w:hanging="284"/>
              <w:contextualSpacing/>
              <w:jc w:val="both"/>
              <w:rPr>
                <w:rFonts w:eastAsia="Calibri"/>
                <w:sz w:val="22"/>
                <w:szCs w:val="22"/>
                <w:lang w:eastAsia="en-US"/>
              </w:rPr>
            </w:pPr>
            <w:r w:rsidRPr="009C2AF7">
              <w:rPr>
                <w:rFonts w:eastAsia="Calibri"/>
                <w:sz w:val="22"/>
                <w:szCs w:val="22"/>
                <w:lang w:eastAsia="en-US"/>
              </w:rPr>
              <w:t>una remunerazione basata sui risultati, pari all’1 per cento annuo dei contributi del programma effettivamente versati ai destinatari finali sotto forma di prestiti,  o delle risorse reimpiegate a seguito del rimborso dei finanziamenti da parte dei destinatari finali, secondo un calcolo pro rata temporis, dalla data di impegno fino alla scadenza del fiannziamento o della conclusione delle procedure di recupero in caso di insolvenza o entro il termine per l’ammissibilità delle spese del programma a seconda di quale evento si verifichi per primo.</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Ai sensi dell’articolo 13, paragrafo 3, lettera d), del regolamento 480/2014, l’importo complessivo delle commissioni e dei costi di gestione pagati nel periodo di ammissibilità delle spese del programma è comunque limitato all’8 per cento dell’importo complessivo dei contributi versati allo strumento finanziario.</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Il valore totale della spesa ammissibile a titolo di costi o commissioni di gestione a chiusura del programma è quello più basso tra l’ammontare calcolato ai sensi del paragrafo 2 e quello derivante dall’applicazione delle soglie di cui al paragrafo 3 del regolamento 480/2014.</w:t>
            </w:r>
          </w:p>
          <w:p w:rsidR="009C2AF7" w:rsidRPr="009C2AF7" w:rsidRDefault="009C2AF7" w:rsidP="009C2AF7">
            <w:pPr>
              <w:spacing w:after="160" w:line="259" w:lineRule="auto"/>
              <w:ind w:left="708"/>
              <w:jc w:val="both"/>
              <w:rPr>
                <w:rFonts w:eastAsia="Calibri"/>
                <w:sz w:val="22"/>
                <w:szCs w:val="22"/>
                <w:lang w:eastAsia="en-US"/>
              </w:rPr>
            </w:pPr>
            <w:r w:rsidRPr="009C2AF7">
              <w:rPr>
                <w:rFonts w:eastAsia="Calibri"/>
                <w:sz w:val="22"/>
                <w:szCs w:val="22"/>
                <w:lang w:eastAsia="en-US"/>
              </w:rPr>
              <w:t>Ai sensi dell’articolo 13, paragrafo 6 del regolamento 480/2014, le soglie di cui ai paragrafi 1, 2 e 3 del medesimo articolo possono essere superate nel caso in cui il gestore sia stato selezionato mediante una gara d'appalto conformemente alle norme applicabili e la gara d'appalto abbia dimostrato la necessità di costi e commissioni di gestione più elevati.</w:t>
            </w:r>
          </w:p>
          <w:p w:rsidR="009C2AF7" w:rsidRPr="009C2AF7" w:rsidRDefault="009C2AF7" w:rsidP="009C2AF7">
            <w:pPr>
              <w:spacing w:before="120" w:after="160" w:line="259" w:lineRule="auto"/>
              <w:ind w:right="126"/>
              <w:jc w:val="both"/>
              <w:rPr>
                <w:rFonts w:eastAsia="Calibri"/>
                <w:b/>
                <w:sz w:val="22"/>
                <w:szCs w:val="22"/>
                <w:highlight w:val="yellow"/>
                <w:lang w:eastAsia="en-US"/>
              </w:rPr>
            </w:pPr>
          </w:p>
        </w:tc>
      </w:tr>
      <w:tr w:rsidR="009C2AF7" w:rsidRPr="009C2AF7" w:rsidTr="0093020D">
        <w:tc>
          <w:tcPr>
            <w:tcW w:w="2268" w:type="dxa"/>
            <w:tcBorders>
              <w:top w:val="single" w:sz="4" w:space="0" w:color="auto"/>
              <w:left w:val="single" w:sz="4" w:space="0" w:color="auto"/>
              <w:bottom w:val="single" w:sz="4" w:space="0" w:color="auto"/>
              <w:right w:val="single" w:sz="4" w:space="0" w:color="auto"/>
            </w:tcBorders>
          </w:tcPr>
          <w:p w:rsidR="009C2AF7" w:rsidRPr="009C2AF7" w:rsidRDefault="009C2AF7" w:rsidP="009C2AF7">
            <w:pPr>
              <w:spacing w:after="120" w:line="240" w:lineRule="exact"/>
              <w:ind w:right="126"/>
              <w:jc w:val="center"/>
              <w:rPr>
                <w:rFonts w:eastAsia="Calibri"/>
                <w:sz w:val="22"/>
                <w:szCs w:val="22"/>
                <w:lang w:eastAsia="en-US"/>
              </w:rPr>
            </w:pPr>
          </w:p>
        </w:tc>
        <w:tc>
          <w:tcPr>
            <w:tcW w:w="8100" w:type="dxa"/>
            <w:tcBorders>
              <w:top w:val="single" w:sz="4" w:space="0" w:color="auto"/>
              <w:left w:val="single" w:sz="4" w:space="0" w:color="auto"/>
              <w:bottom w:val="single" w:sz="4" w:space="0" w:color="auto"/>
              <w:right w:val="single" w:sz="4" w:space="0" w:color="auto"/>
            </w:tcBorders>
          </w:tcPr>
          <w:p w:rsidR="009C2AF7" w:rsidRPr="009C2AF7" w:rsidRDefault="009C2AF7" w:rsidP="009C2AF7">
            <w:pPr>
              <w:spacing w:before="120" w:after="160" w:line="259" w:lineRule="auto"/>
              <w:ind w:left="720" w:right="126"/>
              <w:rPr>
                <w:rFonts w:eastAsia="Calibri"/>
                <w:sz w:val="22"/>
                <w:szCs w:val="22"/>
                <w:lang w:eastAsia="en-US"/>
              </w:rPr>
            </w:pPr>
          </w:p>
        </w:tc>
      </w:tr>
    </w:tbl>
    <w:p w:rsidR="00F94024" w:rsidRDefault="00F94024" w:rsidP="00273BE4">
      <w:pPr>
        <w:spacing w:after="120"/>
        <w:ind w:right="126"/>
      </w:pPr>
    </w:p>
    <w:p w:rsidR="00F94024" w:rsidRDefault="00F94024" w:rsidP="00273BE4">
      <w:pPr>
        <w:spacing w:after="120"/>
        <w:ind w:right="126"/>
      </w:pPr>
    </w:p>
    <w:p w:rsidR="00F94024" w:rsidRDefault="00F94024" w:rsidP="00273BE4">
      <w:pPr>
        <w:spacing w:after="120"/>
        <w:ind w:right="126"/>
      </w:pPr>
    </w:p>
    <w:p w:rsidR="00F94024" w:rsidRDefault="00F94024" w:rsidP="00273BE4">
      <w:pPr>
        <w:spacing w:after="120"/>
        <w:ind w:right="126"/>
      </w:pPr>
    </w:p>
    <w:p w:rsidR="001178BB" w:rsidRPr="009A72D1" w:rsidRDefault="001178BB" w:rsidP="00273BE4">
      <w:pPr>
        <w:spacing w:after="120"/>
        <w:ind w:right="126"/>
      </w:pPr>
    </w:p>
    <w:p w:rsidR="0024392A" w:rsidRDefault="0024392A" w:rsidP="00273BE4">
      <w:pPr>
        <w:spacing w:after="120"/>
        <w:ind w:right="126"/>
        <w:jc w:val="both"/>
        <w:rPr>
          <w:snapToGrid w:val="0"/>
        </w:rPr>
      </w:pPr>
    </w:p>
    <w:p w:rsidR="00166FC6" w:rsidRPr="00955195" w:rsidRDefault="0024392A" w:rsidP="00611533">
      <w:pPr>
        <w:pStyle w:val="Titolo"/>
        <w:outlineLvl w:val="1"/>
      </w:pPr>
      <w:r>
        <w:rPr>
          <w:snapToGrid w:val="0"/>
        </w:rPr>
        <w:br w:type="page"/>
      </w:r>
      <w:bookmarkStart w:id="46" w:name="_Toc432090736"/>
      <w:r w:rsidR="00897CBB" w:rsidRPr="00955195">
        <w:lastRenderedPageBreak/>
        <w:t>N</w:t>
      </w:r>
      <w:r w:rsidR="00166FC6" w:rsidRPr="00955195">
        <w:t>ORMATIVA DI RIFERIMENTO</w:t>
      </w:r>
      <w:bookmarkEnd w:id="46"/>
    </w:p>
    <w:p w:rsidR="00D5163F" w:rsidRDefault="00D5163F" w:rsidP="00D5163F">
      <w:pPr>
        <w:pStyle w:val="Default"/>
      </w:pPr>
    </w:p>
    <w:p w:rsidR="00AD35B0" w:rsidRPr="00E05812" w:rsidRDefault="00C271A0" w:rsidP="00BE7ABC">
      <w:pPr>
        <w:pStyle w:val="CM1"/>
        <w:numPr>
          <w:ilvl w:val="0"/>
          <w:numId w:val="30"/>
        </w:numPr>
        <w:ind w:left="567" w:hanging="567"/>
        <w:jc w:val="both"/>
        <w:rPr>
          <w:rFonts w:ascii="Calibri" w:hAnsi="Calibri"/>
          <w:sz w:val="20"/>
          <w:szCs w:val="20"/>
        </w:rPr>
      </w:pPr>
      <w:r w:rsidRPr="00E05812">
        <w:rPr>
          <w:rFonts w:ascii="Calibri" w:hAnsi="Calibri" w:cs="EUAlbertina"/>
          <w:bCs/>
          <w:color w:val="000000"/>
          <w:sz w:val="20"/>
          <w:szCs w:val="20"/>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AD35B0" w:rsidRPr="00EA213D" w:rsidRDefault="00C271A0" w:rsidP="00BE7ABC">
      <w:pPr>
        <w:pStyle w:val="Paragrafoelenco"/>
        <w:numPr>
          <w:ilvl w:val="0"/>
          <w:numId w:val="28"/>
        </w:numPr>
        <w:spacing w:after="0" w:line="240" w:lineRule="auto"/>
        <w:ind w:left="567" w:hanging="567"/>
        <w:jc w:val="both"/>
        <w:rPr>
          <w:sz w:val="20"/>
          <w:szCs w:val="20"/>
        </w:rPr>
      </w:pPr>
      <w:r w:rsidRPr="00EA213D">
        <w:rPr>
          <w:sz w:val="20"/>
          <w:szCs w:val="20"/>
        </w:rPr>
        <w:t>REGOLAMENTO (UE) N. 1305/2013 DEL PARLAMENTO EUROPEO E DEL CONSIGLIO del 17 dicembre 2013</w:t>
      </w:r>
      <w:r w:rsidR="004161DA" w:rsidRPr="004161DA">
        <w:rPr>
          <w:sz w:val="20"/>
          <w:szCs w:val="20"/>
        </w:rPr>
        <w:t xml:space="preserve"> </w:t>
      </w:r>
      <w:r w:rsidRPr="00EA213D">
        <w:rPr>
          <w:sz w:val="20"/>
          <w:szCs w:val="20"/>
        </w:rPr>
        <w:t xml:space="preserve">sul </w:t>
      </w:r>
      <w:r w:rsidR="006C63CC">
        <w:rPr>
          <w:sz w:val="20"/>
          <w:szCs w:val="20"/>
        </w:rPr>
        <w:t>s</w:t>
      </w:r>
      <w:r w:rsidRPr="00EA213D">
        <w:rPr>
          <w:sz w:val="20"/>
          <w:szCs w:val="20"/>
        </w:rPr>
        <w:t>ostegno allo sviluppo rurale da parte del Fondo europeo agricolo per lo sviluppo rurale (FEASR) e che abroga il regolamento (CE) n. 1698/2005 del Consiglio</w:t>
      </w:r>
    </w:p>
    <w:p w:rsidR="00AD35B0" w:rsidRDefault="00C271A0" w:rsidP="00BE7ABC">
      <w:pPr>
        <w:pStyle w:val="Paragrafoelenco"/>
        <w:numPr>
          <w:ilvl w:val="0"/>
          <w:numId w:val="28"/>
        </w:numPr>
        <w:spacing w:after="0" w:line="240" w:lineRule="auto"/>
        <w:ind w:left="567" w:right="125" w:hanging="567"/>
        <w:jc w:val="both"/>
        <w:rPr>
          <w:bCs/>
        </w:rPr>
      </w:pPr>
      <w:r w:rsidRPr="00EA213D">
        <w:rPr>
          <w:sz w:val="20"/>
          <w:szCs w:val="20"/>
        </w:rPr>
        <w:t xml:space="preserve">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 </w:t>
      </w:r>
    </w:p>
    <w:p w:rsidR="002A27B7" w:rsidRDefault="00C271A0" w:rsidP="0093020D">
      <w:pPr>
        <w:numPr>
          <w:ilvl w:val="0"/>
          <w:numId w:val="12"/>
        </w:numPr>
        <w:tabs>
          <w:tab w:val="clear" w:pos="644"/>
        </w:tabs>
        <w:ind w:left="567" w:right="125" w:hanging="567"/>
        <w:jc w:val="both"/>
        <w:rPr>
          <w:rFonts w:ascii="Calibri" w:hAnsi="Calibri"/>
          <w:sz w:val="20"/>
          <w:szCs w:val="20"/>
        </w:rPr>
      </w:pPr>
      <w:r w:rsidRPr="00EA213D">
        <w:rPr>
          <w:rFonts w:ascii="Calibri" w:hAnsi="Calibri"/>
          <w:sz w:val="20"/>
          <w:szCs w:val="20"/>
        </w:rPr>
        <w:t>REGOLAMENTO (UE) N. 1307/2013 DEL PARLAMENTO EUROPEO E DEL CONSIGLIO</w:t>
      </w:r>
      <w:r w:rsidR="000E1A03" w:rsidRPr="000E1A03">
        <w:rPr>
          <w:rFonts w:ascii="Calibri" w:hAnsi="Calibri"/>
          <w:sz w:val="20"/>
          <w:szCs w:val="20"/>
        </w:rPr>
        <w:t xml:space="preserve"> </w:t>
      </w:r>
      <w:r w:rsidRPr="00EA213D">
        <w:rPr>
          <w:rFonts w:ascii="Calibri" w:hAnsi="Calibri"/>
          <w:sz w:val="20"/>
          <w:szCs w:val="20"/>
        </w:rPr>
        <w:t>del 17 dicembre 2013</w:t>
      </w:r>
      <w:r w:rsidR="000E1A03" w:rsidRPr="000E1A03">
        <w:rPr>
          <w:rFonts w:ascii="Calibri" w:hAnsi="Calibri"/>
          <w:sz w:val="20"/>
          <w:szCs w:val="20"/>
        </w:rPr>
        <w:t xml:space="preserve"> </w:t>
      </w:r>
      <w:r w:rsidRPr="00EA213D">
        <w:rPr>
          <w:rFonts w:ascii="Calibri" w:hAnsi="Calibri"/>
          <w:sz w:val="20"/>
          <w:szCs w:val="20"/>
        </w:rPr>
        <w:t>recante norme sui pagamenti diretti agli agricoltori nell'ambito dei regimi di sostegno previsti dalla politica agricola comune e che abroga il regolamento (CE) n. 637/2008 del Consiglio e il regolamento (CE) n. 73/2009 del Consiglio</w:t>
      </w:r>
      <w:r w:rsidR="00EE7CA1">
        <w:rPr>
          <w:rFonts w:ascii="Calibri" w:hAnsi="Calibri"/>
          <w:sz w:val="20"/>
          <w:szCs w:val="20"/>
        </w:rPr>
        <w:t>;</w:t>
      </w:r>
    </w:p>
    <w:p w:rsidR="00EE7CA1" w:rsidRPr="00EE7CA1" w:rsidRDefault="00EE7CA1" w:rsidP="0093020D">
      <w:pPr>
        <w:numPr>
          <w:ilvl w:val="0"/>
          <w:numId w:val="12"/>
        </w:numPr>
        <w:ind w:right="125"/>
        <w:jc w:val="both"/>
        <w:rPr>
          <w:rFonts w:ascii="Calibri" w:hAnsi="Calibri"/>
          <w:sz w:val="20"/>
          <w:szCs w:val="20"/>
        </w:rPr>
      </w:pPr>
      <w:r w:rsidRPr="00EE7CA1">
        <w:rPr>
          <w:rFonts w:ascii="Calibri" w:hAnsi="Calibri"/>
          <w:sz w:val="20"/>
          <w:szCs w:val="20"/>
        </w:rPr>
        <w:t>REGOLAMENTO (UE) N. 1310/2013 DEL PARLAMENTO EUROPEO E DEL CONSIGLIO del 17 dicembre 2013, che stabilisce alcune disposizioni transitorie sul sostegno allo sviluppo rurale da parte del Fondo europeo agricolo per lo sviluppo rurale (FEASR), modifica il regolamento (UE) n. 1305/2013 del Parlamento europeo e del Consiglio per quanto concerne le risorse e la loro distribuzione in relazione all'anno 2014 e modifica il regolamento (CE) n. 73/2009 del Consiglio e i regolamenti (UE) n. 1307/2013, (UE) n. 1306/2013 e (UE) n. 1308/2013 del Parlamento europeo e del Consiglio per quanto concerne la loro applicazione nell'anno 2014</w:t>
      </w:r>
      <w:r>
        <w:rPr>
          <w:rFonts w:ascii="Calibri" w:hAnsi="Calibri"/>
          <w:sz w:val="20"/>
          <w:szCs w:val="20"/>
        </w:rPr>
        <w:t>;</w:t>
      </w:r>
    </w:p>
    <w:p w:rsidR="00AD35B0" w:rsidRPr="00EA213D" w:rsidRDefault="00C271A0" w:rsidP="0093020D">
      <w:pPr>
        <w:numPr>
          <w:ilvl w:val="0"/>
          <w:numId w:val="12"/>
        </w:numPr>
        <w:tabs>
          <w:tab w:val="clear" w:pos="644"/>
        </w:tabs>
        <w:ind w:left="567" w:right="125" w:hanging="567"/>
        <w:jc w:val="both"/>
        <w:rPr>
          <w:rFonts w:ascii="Calibri" w:hAnsi="Calibri"/>
          <w:sz w:val="20"/>
          <w:szCs w:val="20"/>
        </w:rPr>
      </w:pPr>
      <w:r w:rsidRPr="00EA213D">
        <w:rPr>
          <w:rFonts w:ascii="Calibri" w:hAnsi="Calibri"/>
          <w:sz w:val="20"/>
          <w:szCs w:val="20"/>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ED2206" w:rsidRDefault="00C271A0" w:rsidP="0093020D">
      <w:pPr>
        <w:numPr>
          <w:ilvl w:val="0"/>
          <w:numId w:val="12"/>
        </w:numPr>
        <w:tabs>
          <w:tab w:val="clear" w:pos="644"/>
        </w:tabs>
        <w:ind w:left="567" w:right="125" w:hanging="567"/>
        <w:jc w:val="both"/>
      </w:pPr>
      <w:r w:rsidRPr="00EA213D">
        <w:rPr>
          <w:rFonts w:ascii="Calibri" w:hAnsi="Calibri"/>
          <w:sz w:val="20"/>
          <w:szCs w:val="20"/>
        </w:rPr>
        <w:t>REGOLAMENTO DELEGATO (UE) N. 807/2014 DELLA COMMISSIONE</w:t>
      </w:r>
      <w:r w:rsidR="00247B9E" w:rsidRPr="00247B9E">
        <w:rPr>
          <w:rFonts w:ascii="Calibri" w:hAnsi="Calibri"/>
          <w:sz w:val="20"/>
          <w:szCs w:val="20"/>
        </w:rPr>
        <w:t xml:space="preserve"> </w:t>
      </w:r>
      <w:r w:rsidRPr="00EA213D">
        <w:rPr>
          <w:rFonts w:ascii="Calibri" w:hAnsi="Calibri"/>
          <w:sz w:val="20"/>
          <w:szCs w:val="20"/>
        </w:rPr>
        <w:t>dell’11 marzo 2014</w:t>
      </w:r>
      <w:r w:rsidR="00247B9E" w:rsidRPr="00247B9E">
        <w:rPr>
          <w:rFonts w:ascii="Calibri" w:hAnsi="Calibri"/>
          <w:sz w:val="20"/>
          <w:szCs w:val="20"/>
        </w:rPr>
        <w:t xml:space="preserve"> </w:t>
      </w:r>
      <w:r w:rsidRPr="00EA213D">
        <w:rPr>
          <w:rFonts w:ascii="Calibri" w:hAnsi="Calibri"/>
          <w:sz w:val="20"/>
          <w:szCs w:val="20"/>
        </w:rPr>
        <w:t>che integra talune disposizioni del regolamento (UE) n. 1305/2013 del Parlamento europeo e del Consiglio sul sostegno allo sviluppo rurale da parte del Fondo europeo agricolo per lo sviluppo rurale (FEASR) e che introduce disposizioni transitorie</w:t>
      </w:r>
    </w:p>
    <w:p w:rsidR="00ED2206" w:rsidRPr="00ED2206" w:rsidRDefault="00C271A0" w:rsidP="0093020D">
      <w:pPr>
        <w:numPr>
          <w:ilvl w:val="0"/>
          <w:numId w:val="12"/>
        </w:numPr>
        <w:tabs>
          <w:tab w:val="clear" w:pos="644"/>
        </w:tabs>
        <w:ind w:left="567" w:right="125" w:hanging="567"/>
        <w:jc w:val="both"/>
      </w:pPr>
      <w:r w:rsidRPr="00EA213D">
        <w:rPr>
          <w:rFonts w:ascii="Calibri" w:hAnsi="Calibri"/>
          <w:sz w:val="20"/>
          <w:szCs w:val="20"/>
        </w:rPr>
        <w:t>REGOLAMENTO DI ESECUZIONE (UE) N. 808/2014 DELLA COMMISSIONE</w:t>
      </w:r>
      <w:r w:rsidR="00F74F8F" w:rsidRPr="00F74F8F">
        <w:rPr>
          <w:rFonts w:ascii="Calibri" w:hAnsi="Calibri"/>
          <w:sz w:val="20"/>
          <w:szCs w:val="20"/>
        </w:rPr>
        <w:t xml:space="preserve"> </w:t>
      </w:r>
      <w:r w:rsidRPr="00EA213D">
        <w:rPr>
          <w:rFonts w:ascii="Calibri" w:hAnsi="Calibri"/>
          <w:sz w:val="20"/>
          <w:szCs w:val="20"/>
        </w:rPr>
        <w:t>del 17 luglio 2014</w:t>
      </w:r>
      <w:r w:rsidR="00F74F8F" w:rsidRPr="00F74F8F">
        <w:rPr>
          <w:rFonts w:ascii="Calibri" w:hAnsi="Calibri"/>
          <w:sz w:val="20"/>
          <w:szCs w:val="20"/>
        </w:rPr>
        <w:t xml:space="preserve"> </w:t>
      </w:r>
      <w:r w:rsidRPr="00EA213D">
        <w:rPr>
          <w:rFonts w:ascii="Calibri" w:hAnsi="Calibri"/>
          <w:sz w:val="20"/>
          <w:szCs w:val="20"/>
        </w:rPr>
        <w:t xml:space="preserve">recante modalità di applicazione del regolamento (UE) n. 1305/2013 del Parlamento europeo e del Consiglio sul sostegno allo sviluppo rurale da parte del Fondo europeo agricolo per lo sviluppo rurale (FEASR) </w:t>
      </w:r>
    </w:p>
    <w:p w:rsidR="00ED2206" w:rsidRPr="00977A36" w:rsidRDefault="00C271A0" w:rsidP="0093020D">
      <w:pPr>
        <w:numPr>
          <w:ilvl w:val="0"/>
          <w:numId w:val="12"/>
        </w:numPr>
        <w:tabs>
          <w:tab w:val="clear" w:pos="644"/>
        </w:tabs>
        <w:ind w:left="567" w:right="125" w:hanging="567"/>
        <w:jc w:val="both"/>
      </w:pPr>
      <w:r w:rsidRPr="00EA213D">
        <w:rPr>
          <w:rFonts w:ascii="Calibri" w:hAnsi="Calibri"/>
          <w:sz w:val="20"/>
          <w:szCs w:val="20"/>
        </w:rPr>
        <w:t>REGOLAMENTO DI ESECUZIONE (UE) N. 809/2014 DELLA COMMISSIONE</w:t>
      </w:r>
      <w:r w:rsidR="00C5757E" w:rsidRPr="00C5757E">
        <w:rPr>
          <w:rFonts w:ascii="Calibri" w:hAnsi="Calibri"/>
          <w:sz w:val="20"/>
          <w:szCs w:val="20"/>
        </w:rPr>
        <w:t xml:space="preserve"> </w:t>
      </w:r>
      <w:r w:rsidRPr="00EA213D">
        <w:rPr>
          <w:rFonts w:ascii="Calibri" w:hAnsi="Calibri"/>
          <w:sz w:val="20"/>
          <w:szCs w:val="20"/>
        </w:rPr>
        <w:t>del 17 luglio 2014</w:t>
      </w:r>
      <w:r w:rsidR="00C5757E" w:rsidRPr="00C5757E">
        <w:rPr>
          <w:rFonts w:ascii="Calibri" w:hAnsi="Calibri"/>
          <w:sz w:val="20"/>
          <w:szCs w:val="20"/>
        </w:rPr>
        <w:t xml:space="preserve"> </w:t>
      </w:r>
      <w:r w:rsidRPr="00EA213D">
        <w:rPr>
          <w:rFonts w:ascii="Calibri" w:hAnsi="Calibri"/>
          <w:sz w:val="20"/>
          <w:szCs w:val="20"/>
        </w:rPr>
        <w:t>recante modalità di applicazione del regolamento (UE) n. 1306/2013 del Parlamento europeo e del Consiglio per quanto riguarda il sistema integrato di gestione e di controllo, le misure di sviluppo rurale e la condizionalità</w:t>
      </w:r>
      <w:r w:rsidR="00977A36">
        <w:rPr>
          <w:rFonts w:ascii="Calibri" w:hAnsi="Calibri"/>
          <w:sz w:val="20"/>
          <w:szCs w:val="20"/>
        </w:rPr>
        <w:t>;</w:t>
      </w:r>
    </w:p>
    <w:p w:rsidR="00D23CFF" w:rsidRPr="00D23CFF" w:rsidRDefault="00127C81" w:rsidP="00D23CFF">
      <w:pPr>
        <w:numPr>
          <w:ilvl w:val="0"/>
          <w:numId w:val="12"/>
        </w:numPr>
        <w:tabs>
          <w:tab w:val="clear" w:pos="644"/>
        </w:tabs>
        <w:ind w:left="567" w:right="125" w:hanging="567"/>
        <w:jc w:val="both"/>
        <w:rPr>
          <w:rFonts w:asciiTheme="minorHAnsi" w:hAnsiTheme="minorHAnsi"/>
          <w:sz w:val="20"/>
          <w:szCs w:val="20"/>
        </w:rPr>
      </w:pPr>
      <w:r w:rsidRPr="00D23CFF">
        <w:rPr>
          <w:rFonts w:ascii="Calibri" w:hAnsi="Calibri"/>
          <w:sz w:val="18"/>
          <w:szCs w:val="18"/>
        </w:rPr>
        <w:t>REGOLAMENTO (UE, EURATOM) N. 966/2012 DEL PARLAMENTO EUROPEO E DEL CONSIGLIO del 25 ottobre 2012, che stabilisce le regole finanziarie applicabili al bilancio generale dell'Unione e che abroga il regolamento (CE, Euratom) n. 1605/2012</w:t>
      </w:r>
    </w:p>
    <w:p w:rsidR="00D23CFF" w:rsidRPr="00D23CFF" w:rsidRDefault="00D23CFF" w:rsidP="00D23CFF">
      <w:pPr>
        <w:numPr>
          <w:ilvl w:val="0"/>
          <w:numId w:val="12"/>
        </w:numPr>
        <w:tabs>
          <w:tab w:val="clear" w:pos="644"/>
        </w:tabs>
        <w:ind w:left="567" w:right="125" w:hanging="567"/>
        <w:jc w:val="both"/>
        <w:rPr>
          <w:rFonts w:asciiTheme="minorHAnsi" w:hAnsiTheme="minorHAnsi"/>
          <w:sz w:val="20"/>
          <w:szCs w:val="20"/>
        </w:rPr>
      </w:pPr>
      <w:r w:rsidRPr="00D23CFF">
        <w:rPr>
          <w:rFonts w:asciiTheme="minorHAnsi" w:hAnsiTheme="minorHAnsi"/>
          <w:sz w:val="20"/>
          <w:szCs w:val="20"/>
        </w:rPr>
        <w:t>Orientamenti dell’Unione europea per l’applicazione delle norme in materia di aiuti di Stato in relazione allo sviluppo rapido di reti a banda larga (2013/C 25/01) e successive modificazioni</w:t>
      </w:r>
    </w:p>
    <w:p w:rsidR="00D23CFF" w:rsidRPr="00D23CFF" w:rsidRDefault="00D23CFF" w:rsidP="00D23CFF">
      <w:pPr>
        <w:numPr>
          <w:ilvl w:val="0"/>
          <w:numId w:val="12"/>
        </w:numPr>
        <w:tabs>
          <w:tab w:val="clear" w:pos="644"/>
        </w:tabs>
        <w:ind w:left="567" w:right="125" w:hanging="567"/>
        <w:jc w:val="both"/>
        <w:rPr>
          <w:rFonts w:asciiTheme="minorHAnsi" w:hAnsiTheme="minorHAnsi"/>
          <w:sz w:val="20"/>
          <w:szCs w:val="20"/>
        </w:rPr>
      </w:pPr>
      <w:r w:rsidRPr="00D23CFF">
        <w:rPr>
          <w:rFonts w:asciiTheme="minorHAnsi" w:hAnsiTheme="minorHAnsi"/>
          <w:sz w:val="20"/>
          <w:szCs w:val="20"/>
        </w:rPr>
        <w:t>REGOLAMENTO (UE) N. 1407/2013 DELLA COMMISSIONE del 18 dicembre 2013 relativo all’applicazione degli articoli 107 e 108 del trattato sul funzionamento dell’Unione europea agli aiuti «de minimis»</w:t>
      </w:r>
    </w:p>
    <w:p w:rsidR="00D23CFF" w:rsidRPr="00D23CFF" w:rsidRDefault="00D23CFF" w:rsidP="00D23CFF">
      <w:pPr>
        <w:numPr>
          <w:ilvl w:val="0"/>
          <w:numId w:val="12"/>
        </w:numPr>
        <w:tabs>
          <w:tab w:val="clear" w:pos="644"/>
        </w:tabs>
        <w:ind w:left="567" w:right="125" w:hanging="567"/>
        <w:jc w:val="both"/>
        <w:rPr>
          <w:rFonts w:asciiTheme="minorHAnsi" w:hAnsiTheme="minorHAnsi"/>
          <w:sz w:val="20"/>
          <w:szCs w:val="20"/>
        </w:rPr>
      </w:pPr>
      <w:r w:rsidRPr="00D23CFF">
        <w:rPr>
          <w:rFonts w:asciiTheme="minorHAnsi" w:hAnsiTheme="minorHAnsi"/>
          <w:sz w:val="20"/>
          <w:szCs w:val="20"/>
        </w:rPr>
        <w:t>Disciplina in materia di aiuti di Stato a favore dell’ambiente e dell’energia 2014-2020 (2014/C 200/01)</w:t>
      </w:r>
    </w:p>
    <w:tbl>
      <w:tblPr>
        <w:tblW w:w="10490" w:type="dxa"/>
        <w:tblInd w:w="108" w:type="dxa"/>
        <w:tblBorders>
          <w:top w:val="nil"/>
          <w:left w:val="nil"/>
          <w:bottom w:val="nil"/>
          <w:right w:val="nil"/>
        </w:tblBorders>
        <w:tblLayout w:type="fixed"/>
        <w:tblLook w:val="0000" w:firstRow="0" w:lastRow="0" w:firstColumn="0" w:lastColumn="0" w:noHBand="0" w:noVBand="0"/>
      </w:tblPr>
      <w:tblGrid>
        <w:gridCol w:w="10490"/>
      </w:tblGrid>
      <w:tr w:rsidR="00D23CFF" w:rsidRPr="00D23CFF" w:rsidTr="00A01342">
        <w:trPr>
          <w:trHeight w:val="120"/>
        </w:trPr>
        <w:tc>
          <w:tcPr>
            <w:tcW w:w="10490" w:type="dxa"/>
          </w:tcPr>
          <w:p w:rsidR="00D23CFF" w:rsidRPr="00D23CFF" w:rsidRDefault="00D23CFF" w:rsidP="00A01342">
            <w:pPr>
              <w:pStyle w:val="Default"/>
              <w:ind w:right="125"/>
              <w:rPr>
                <w:rFonts w:ascii="Calibri" w:hAnsi="Calibri"/>
                <w:color w:val="auto"/>
                <w:sz w:val="18"/>
                <w:szCs w:val="18"/>
              </w:rPr>
            </w:pPr>
          </w:p>
        </w:tc>
      </w:tr>
    </w:tbl>
    <w:p w:rsidR="00D23CFF" w:rsidRPr="00D23CFF" w:rsidRDefault="00D23CFF" w:rsidP="00D23CFF">
      <w:pPr>
        <w:numPr>
          <w:ilvl w:val="0"/>
          <w:numId w:val="12"/>
        </w:numPr>
        <w:tabs>
          <w:tab w:val="clear" w:pos="644"/>
        </w:tabs>
        <w:ind w:left="567" w:right="125" w:hanging="567"/>
        <w:jc w:val="both"/>
        <w:rPr>
          <w:rFonts w:asciiTheme="minorHAnsi" w:hAnsiTheme="minorHAnsi"/>
          <w:sz w:val="20"/>
          <w:szCs w:val="20"/>
        </w:rPr>
      </w:pPr>
      <w:r w:rsidRPr="00D23CFF">
        <w:rPr>
          <w:rFonts w:asciiTheme="minorHAnsi" w:hAnsiTheme="minorHAnsi"/>
          <w:sz w:val="20"/>
          <w:szCs w:val="20"/>
        </w:rPr>
        <w:t>Disciplina degli aiuti di Stato a favore di ricerca, sviluppo e innovazione (2014/C 198/01)</w:t>
      </w:r>
    </w:p>
    <w:p w:rsidR="00D23CFF" w:rsidRPr="00D23CFF" w:rsidRDefault="00D23CFF" w:rsidP="00D23CFF">
      <w:pPr>
        <w:numPr>
          <w:ilvl w:val="0"/>
          <w:numId w:val="12"/>
        </w:numPr>
        <w:tabs>
          <w:tab w:val="clear" w:pos="644"/>
        </w:tabs>
        <w:ind w:left="567" w:right="125" w:hanging="567"/>
        <w:jc w:val="both"/>
        <w:rPr>
          <w:rFonts w:ascii="Calibri" w:hAnsi="Calibri"/>
          <w:sz w:val="20"/>
          <w:szCs w:val="20"/>
        </w:rPr>
      </w:pPr>
      <w:r w:rsidRPr="00D23CFF">
        <w:rPr>
          <w:rFonts w:ascii="Calibri" w:hAnsi="Calibri"/>
          <w:bCs/>
          <w:sz w:val="20"/>
          <w:szCs w:val="20"/>
        </w:rPr>
        <w:t xml:space="preserve">Orientamenti dell’Unione europea per gli aiuti di Stato nei settori agricolo e forestale e nelle zone rurali 2014—2020 </w:t>
      </w:r>
      <w:r w:rsidRPr="00D23CFF">
        <w:rPr>
          <w:rFonts w:ascii="Calibri" w:hAnsi="Calibri"/>
          <w:sz w:val="20"/>
          <w:szCs w:val="20"/>
        </w:rPr>
        <w:t>(2014/C 204/01);</w:t>
      </w:r>
    </w:p>
    <w:p w:rsidR="00D23CFF" w:rsidRPr="00D23CFF" w:rsidRDefault="00D23CFF" w:rsidP="00D23CFF">
      <w:pPr>
        <w:numPr>
          <w:ilvl w:val="0"/>
          <w:numId w:val="12"/>
        </w:numPr>
        <w:tabs>
          <w:tab w:val="clear" w:pos="644"/>
        </w:tabs>
        <w:ind w:left="567" w:right="125" w:hanging="567"/>
        <w:jc w:val="both"/>
        <w:rPr>
          <w:rFonts w:ascii="Calibri" w:hAnsi="Calibri"/>
          <w:sz w:val="20"/>
          <w:szCs w:val="20"/>
        </w:rPr>
      </w:pPr>
      <w:r w:rsidRPr="00D23CFF">
        <w:rPr>
          <w:rFonts w:ascii="Calibri" w:hAnsi="Calibri"/>
          <w:bCs/>
          <w:sz w:val="20"/>
          <w:szCs w:val="20"/>
        </w:rPr>
        <w:t xml:space="preserve">REGOLAMENTO (UE) N. 651/2014 DELLA COMMISSIONE del 17 giugno 2014 che dichiara alcune categorie di aiuti compatibili con il mercato interno in applicazione degli articoli 107 e 108 del trattato </w:t>
      </w:r>
    </w:p>
    <w:p w:rsidR="00D23CFF" w:rsidRPr="00D23CFF" w:rsidRDefault="00D23CFF" w:rsidP="00D23CFF">
      <w:pPr>
        <w:numPr>
          <w:ilvl w:val="0"/>
          <w:numId w:val="12"/>
        </w:numPr>
        <w:tabs>
          <w:tab w:val="clear" w:pos="644"/>
        </w:tabs>
        <w:ind w:left="567" w:right="125" w:hanging="567"/>
        <w:jc w:val="both"/>
        <w:rPr>
          <w:rFonts w:ascii="Calibri" w:hAnsi="Calibri"/>
          <w:sz w:val="20"/>
          <w:szCs w:val="20"/>
        </w:rPr>
      </w:pPr>
      <w:r w:rsidRPr="00D23CFF">
        <w:rPr>
          <w:rFonts w:ascii="Calibri" w:hAnsi="Calibri"/>
          <w:bCs/>
          <w:sz w:val="20"/>
          <w:szCs w:val="20"/>
        </w:rPr>
        <w:lastRenderedPageBreak/>
        <w:t>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p w:rsidR="00AD35B0" w:rsidRPr="00EA213D" w:rsidRDefault="00C271A0" w:rsidP="0093020D">
      <w:pPr>
        <w:numPr>
          <w:ilvl w:val="0"/>
          <w:numId w:val="12"/>
        </w:numPr>
        <w:tabs>
          <w:tab w:val="clear" w:pos="644"/>
        </w:tabs>
        <w:ind w:left="538" w:right="125" w:hanging="538"/>
        <w:jc w:val="both"/>
        <w:rPr>
          <w:rFonts w:ascii="Calibri" w:hAnsi="Calibri"/>
          <w:sz w:val="20"/>
          <w:szCs w:val="20"/>
        </w:rPr>
      </w:pPr>
      <w:r w:rsidRPr="00EA213D">
        <w:rPr>
          <w:rFonts w:ascii="Calibri" w:hAnsi="Calibri"/>
          <w:sz w:val="20"/>
          <w:szCs w:val="20"/>
        </w:rPr>
        <w:t>Direttiva 2006/112/CE del Consiglio del 28.11.2006 e succ m. e i. relativa al sistema comune d’imposta sul valore aggiunto;</w:t>
      </w:r>
    </w:p>
    <w:p w:rsidR="00AD35B0" w:rsidRPr="00EA213D" w:rsidRDefault="00C271A0" w:rsidP="0093020D">
      <w:pPr>
        <w:numPr>
          <w:ilvl w:val="0"/>
          <w:numId w:val="12"/>
        </w:numPr>
        <w:tabs>
          <w:tab w:val="clear" w:pos="644"/>
        </w:tabs>
        <w:ind w:left="567" w:right="125" w:hanging="567"/>
        <w:jc w:val="both"/>
        <w:rPr>
          <w:rFonts w:ascii="Calibri" w:hAnsi="Calibri"/>
          <w:sz w:val="20"/>
          <w:szCs w:val="20"/>
        </w:rPr>
      </w:pPr>
      <w:r w:rsidRPr="00EA213D">
        <w:rPr>
          <w:rFonts w:ascii="Calibri" w:hAnsi="Calibri"/>
          <w:bCs/>
          <w:sz w:val="20"/>
          <w:szCs w:val="20"/>
        </w:rPr>
        <w:t>Direttiva 2004/17/CE del Parlamento Europeo e del Consiglio del 31 marzo 2004 relativa al coordinamento delle procedure di appalto degli Enti erogatori di acqua e di energia, degli Enti che forniscono servizi di trasporto e servizi postali;</w:t>
      </w:r>
    </w:p>
    <w:p w:rsidR="003363F9" w:rsidRDefault="00C271A0" w:rsidP="0093020D">
      <w:pPr>
        <w:numPr>
          <w:ilvl w:val="0"/>
          <w:numId w:val="12"/>
        </w:numPr>
        <w:tabs>
          <w:tab w:val="clear" w:pos="644"/>
        </w:tabs>
        <w:ind w:left="567" w:right="125" w:hanging="567"/>
        <w:jc w:val="both"/>
        <w:rPr>
          <w:rFonts w:ascii="Calibri" w:hAnsi="Calibri"/>
          <w:bCs/>
          <w:sz w:val="20"/>
          <w:szCs w:val="20"/>
        </w:rPr>
      </w:pPr>
      <w:r w:rsidRPr="00EA213D">
        <w:rPr>
          <w:rFonts w:ascii="Calibri" w:hAnsi="Calibri"/>
          <w:sz w:val="20"/>
          <w:szCs w:val="20"/>
        </w:rPr>
        <w:t>DIRETTIVA 2014/24/UE DEL PARLAMENTO EUROPEO E DEL CONSIGLIO</w:t>
      </w:r>
      <w:r w:rsidR="008417E2" w:rsidRPr="008417E2">
        <w:rPr>
          <w:rFonts w:ascii="Calibri" w:hAnsi="Calibri"/>
          <w:sz w:val="20"/>
          <w:szCs w:val="20"/>
        </w:rPr>
        <w:t xml:space="preserve"> </w:t>
      </w:r>
      <w:r w:rsidRPr="00EA213D">
        <w:rPr>
          <w:rFonts w:ascii="Calibri" w:hAnsi="Calibri"/>
          <w:sz w:val="20"/>
          <w:szCs w:val="20"/>
        </w:rPr>
        <w:t>del 26 febbraio 2014</w:t>
      </w:r>
      <w:r w:rsidR="008417E2" w:rsidRPr="008417E2">
        <w:rPr>
          <w:rFonts w:ascii="Calibri" w:hAnsi="Calibri"/>
          <w:sz w:val="20"/>
          <w:szCs w:val="20"/>
        </w:rPr>
        <w:t xml:space="preserve"> </w:t>
      </w:r>
      <w:r w:rsidRPr="00EA213D">
        <w:rPr>
          <w:rFonts w:ascii="Calibri" w:hAnsi="Calibri"/>
          <w:sz w:val="20"/>
          <w:szCs w:val="20"/>
        </w:rPr>
        <w:t xml:space="preserve">sugli appalti pubblici e che abroga la direttiva 2004/18/CE </w:t>
      </w:r>
      <w:r w:rsidR="00782295" w:rsidRPr="00782295">
        <w:rPr>
          <w:rFonts w:ascii="Calibri" w:hAnsi="Calibri"/>
          <w:bCs/>
          <w:sz w:val="20"/>
          <w:szCs w:val="20"/>
        </w:rPr>
        <w:t>Orientamenti sugli aiuti di Stato destinati a promuovere gli investimenti per il finanziamento del rischio</w:t>
      </w:r>
      <w:r w:rsidR="00782295" w:rsidRPr="00757582">
        <w:rPr>
          <w:rFonts w:ascii="Calibri" w:hAnsi="Calibri"/>
          <w:bCs/>
          <w:sz w:val="20"/>
          <w:szCs w:val="20"/>
        </w:rPr>
        <w:t xml:space="preserve"> (2014/C 19/04)</w:t>
      </w:r>
      <w:r w:rsidR="003363F9">
        <w:rPr>
          <w:rFonts w:ascii="Calibri" w:hAnsi="Calibri"/>
          <w:bCs/>
          <w:sz w:val="20"/>
          <w:szCs w:val="20"/>
        </w:rPr>
        <w:t>;</w:t>
      </w:r>
      <w:r w:rsidR="00782295" w:rsidRPr="006D3881">
        <w:rPr>
          <w:rFonts w:ascii="Calibri" w:hAnsi="Calibri"/>
          <w:bCs/>
          <w:sz w:val="20"/>
          <w:szCs w:val="20"/>
        </w:rPr>
        <w:t xml:space="preserve"> </w:t>
      </w:r>
    </w:p>
    <w:p w:rsidR="003363F9" w:rsidRPr="00FA2779" w:rsidRDefault="003363F9" w:rsidP="0093020D">
      <w:pPr>
        <w:numPr>
          <w:ilvl w:val="0"/>
          <w:numId w:val="12"/>
        </w:numPr>
        <w:tabs>
          <w:tab w:val="clear" w:pos="644"/>
        </w:tabs>
        <w:ind w:left="567" w:right="125" w:hanging="567"/>
        <w:jc w:val="both"/>
        <w:rPr>
          <w:rFonts w:ascii="Calibri" w:hAnsi="Calibri"/>
          <w:sz w:val="20"/>
          <w:szCs w:val="20"/>
        </w:rPr>
      </w:pPr>
      <w:r w:rsidRPr="00FA2779">
        <w:rPr>
          <w:rFonts w:ascii="Calibri" w:hAnsi="Calibri"/>
          <w:bCs/>
          <w:sz w:val="20"/>
          <w:szCs w:val="20"/>
        </w:rPr>
        <w:t>Orientamenti dell’Unione europea per gli aiuti di Stato nei settori agricolo e forestale e nelle zone rurali 2014—2020</w:t>
      </w:r>
    </w:p>
    <w:p w:rsidR="003363F9" w:rsidRPr="00FA2779" w:rsidRDefault="003363F9" w:rsidP="00127C81">
      <w:pPr>
        <w:ind w:left="567" w:right="125"/>
        <w:jc w:val="both"/>
        <w:rPr>
          <w:rFonts w:ascii="Calibri" w:hAnsi="Calibri"/>
          <w:sz w:val="20"/>
          <w:szCs w:val="20"/>
        </w:rPr>
      </w:pPr>
      <w:r w:rsidRPr="00FA2779">
        <w:rPr>
          <w:rFonts w:ascii="Calibri" w:hAnsi="Calibri"/>
          <w:sz w:val="20"/>
          <w:szCs w:val="20"/>
        </w:rPr>
        <w:t>(2014/C 204/01);</w:t>
      </w:r>
    </w:p>
    <w:tbl>
      <w:tblPr>
        <w:tblW w:w="10490" w:type="dxa"/>
        <w:tblInd w:w="108" w:type="dxa"/>
        <w:tblBorders>
          <w:top w:val="nil"/>
          <w:left w:val="nil"/>
          <w:bottom w:val="nil"/>
          <w:right w:val="nil"/>
        </w:tblBorders>
        <w:tblLayout w:type="fixed"/>
        <w:tblLook w:val="0000" w:firstRow="0" w:lastRow="0" w:firstColumn="0" w:lastColumn="0" w:noHBand="0" w:noVBand="0"/>
      </w:tblPr>
      <w:tblGrid>
        <w:gridCol w:w="10490"/>
      </w:tblGrid>
      <w:tr w:rsidR="003363F9" w:rsidTr="000B15ED">
        <w:trPr>
          <w:trHeight w:val="120"/>
        </w:trPr>
        <w:tc>
          <w:tcPr>
            <w:tcW w:w="10490" w:type="dxa"/>
          </w:tcPr>
          <w:p w:rsidR="003363F9" w:rsidRPr="00FA2779" w:rsidRDefault="003363F9" w:rsidP="00FC624D">
            <w:pPr>
              <w:pStyle w:val="Default"/>
              <w:ind w:right="125"/>
              <w:rPr>
                <w:rFonts w:ascii="Calibri" w:hAnsi="Calibri"/>
                <w:sz w:val="18"/>
                <w:szCs w:val="18"/>
              </w:rPr>
            </w:pPr>
          </w:p>
        </w:tc>
      </w:tr>
    </w:tbl>
    <w:p w:rsidR="00AD35B0" w:rsidRPr="00EA213D" w:rsidRDefault="003363F9" w:rsidP="0093020D">
      <w:pPr>
        <w:numPr>
          <w:ilvl w:val="0"/>
          <w:numId w:val="12"/>
        </w:numPr>
        <w:tabs>
          <w:tab w:val="clear" w:pos="644"/>
        </w:tabs>
        <w:ind w:left="567" w:right="125" w:hanging="567"/>
        <w:jc w:val="both"/>
        <w:rPr>
          <w:rFonts w:ascii="Calibri" w:hAnsi="Calibri"/>
          <w:bCs/>
          <w:sz w:val="20"/>
          <w:szCs w:val="20"/>
        </w:rPr>
      </w:pPr>
      <w:r>
        <w:rPr>
          <w:rFonts w:ascii="Calibri" w:hAnsi="Calibri"/>
          <w:bCs/>
          <w:sz w:val="20"/>
          <w:szCs w:val="20"/>
        </w:rPr>
        <w:t>Di</w:t>
      </w:r>
      <w:r w:rsidR="00C271A0" w:rsidRPr="00EA213D">
        <w:rPr>
          <w:rFonts w:ascii="Calibri" w:hAnsi="Calibri"/>
          <w:bCs/>
          <w:sz w:val="20"/>
          <w:szCs w:val="20"/>
        </w:rPr>
        <w:t>sciplina comunitaria in materia di aiuti di stato a favore di ricerca, sviluppo e innovazione (2006/C 323/01);</w:t>
      </w:r>
    </w:p>
    <w:p w:rsidR="00E61528" w:rsidRPr="00D23CFF" w:rsidRDefault="00C271A0" w:rsidP="0093020D">
      <w:pPr>
        <w:numPr>
          <w:ilvl w:val="0"/>
          <w:numId w:val="12"/>
        </w:numPr>
        <w:tabs>
          <w:tab w:val="clear" w:pos="644"/>
          <w:tab w:val="num" w:pos="540"/>
        </w:tabs>
        <w:ind w:left="567" w:right="125" w:hanging="567"/>
        <w:jc w:val="both"/>
        <w:rPr>
          <w:rFonts w:ascii="Calibri" w:hAnsi="Calibri"/>
          <w:sz w:val="20"/>
          <w:szCs w:val="20"/>
        </w:rPr>
      </w:pPr>
      <w:r w:rsidRPr="00977A36">
        <w:rPr>
          <w:rFonts w:ascii="Calibri" w:hAnsi="Calibri"/>
          <w:iCs/>
          <w:sz w:val="20"/>
          <w:szCs w:val="20"/>
        </w:rPr>
        <w:t>D.lgs n. 163 del 12 aprile 2006 (T.U. sugli appalti pubblici di lavoro, forniture e servizi) e successive mod. ed integr.,</w:t>
      </w:r>
      <w:r w:rsidRPr="00977A36">
        <w:rPr>
          <w:rFonts w:ascii="Calibri" w:hAnsi="Calibri"/>
          <w:sz w:val="20"/>
          <w:szCs w:val="20"/>
        </w:rPr>
        <w:t xml:space="preserve"> </w:t>
      </w:r>
      <w:r w:rsidRPr="00977A36">
        <w:rPr>
          <w:rFonts w:ascii="Calibri" w:hAnsi="Calibri"/>
          <w:bCs/>
          <w:sz w:val="20"/>
          <w:szCs w:val="20"/>
        </w:rPr>
        <w:t>in</w:t>
      </w:r>
      <w:r w:rsidRPr="00EA213D">
        <w:rPr>
          <w:rFonts w:ascii="Calibri" w:hAnsi="Calibri"/>
          <w:bCs/>
          <w:sz w:val="20"/>
          <w:szCs w:val="20"/>
        </w:rPr>
        <w:t xml:space="preserve"> attuazione della Direttiva 2004/17/CE e</w:t>
      </w:r>
      <w:r w:rsidRPr="00EA213D">
        <w:rPr>
          <w:rFonts w:ascii="Calibri" w:hAnsi="Calibri"/>
          <w:sz w:val="20"/>
          <w:szCs w:val="20"/>
        </w:rPr>
        <w:t xml:space="preserve"> Direttiva </w:t>
      </w:r>
      <w:r w:rsidRPr="00EA213D">
        <w:rPr>
          <w:rFonts w:ascii="Calibri" w:hAnsi="Calibri"/>
          <w:bCs/>
          <w:sz w:val="20"/>
          <w:szCs w:val="20"/>
        </w:rPr>
        <w:t xml:space="preserve">2004/18/CE, </w:t>
      </w:r>
      <w:r w:rsidRPr="00EA213D">
        <w:rPr>
          <w:rFonts w:ascii="Calibri" w:hAnsi="Calibri"/>
          <w:sz w:val="20"/>
          <w:szCs w:val="20"/>
        </w:rPr>
        <w:t>quest’ultima abrogata dalla Direttiva 2014/24/UE  del Parlamento Europeo e del Consiglio,</w:t>
      </w:r>
      <w:r w:rsidRPr="00EA213D">
        <w:rPr>
          <w:rFonts w:ascii="Calibri" w:hAnsi="Calibri"/>
          <w:bCs/>
          <w:sz w:val="20"/>
          <w:szCs w:val="20"/>
        </w:rPr>
        <w:t xml:space="preserve"> a norma dell'articolo 25, comma 3, della legge 18 aprile 2005, n. 62 (Legge comunitaria 2004)</w:t>
      </w:r>
      <w:r w:rsidRPr="00EA213D">
        <w:rPr>
          <w:rFonts w:ascii="Calibri" w:hAnsi="Calibri"/>
          <w:b/>
          <w:bCs/>
          <w:sz w:val="20"/>
          <w:szCs w:val="20"/>
        </w:rPr>
        <w:t xml:space="preserve">, </w:t>
      </w:r>
      <w:r w:rsidRPr="00EA213D">
        <w:rPr>
          <w:rFonts w:ascii="Calibri" w:hAnsi="Calibri"/>
          <w:sz w:val="20"/>
          <w:szCs w:val="20"/>
        </w:rPr>
        <w:t xml:space="preserve">pubblicato nella </w:t>
      </w:r>
      <w:r w:rsidRPr="00EA213D">
        <w:rPr>
          <w:rFonts w:ascii="Calibri" w:hAnsi="Calibri"/>
          <w:i/>
          <w:iCs/>
          <w:sz w:val="20"/>
          <w:szCs w:val="20"/>
        </w:rPr>
        <w:t>Gazzetta Ufficiale</w:t>
      </w:r>
      <w:r w:rsidRPr="00EA213D">
        <w:rPr>
          <w:rFonts w:ascii="Calibri" w:hAnsi="Calibri"/>
          <w:sz w:val="20"/>
          <w:szCs w:val="20"/>
        </w:rPr>
        <w:t xml:space="preserve"> n. 25 del 31 gennaio 2007</w:t>
      </w:r>
      <w:r w:rsidRPr="00EA213D">
        <w:rPr>
          <w:rFonts w:ascii="Calibri" w:hAnsi="Calibri"/>
          <w:iCs/>
          <w:sz w:val="20"/>
          <w:szCs w:val="20"/>
        </w:rPr>
        <w:t>;</w:t>
      </w:r>
    </w:p>
    <w:p w:rsidR="00D23CFF" w:rsidRPr="00D23CFF" w:rsidRDefault="00D23CFF" w:rsidP="00D23CFF">
      <w:pPr>
        <w:pStyle w:val="NormaleWeb"/>
        <w:numPr>
          <w:ilvl w:val="0"/>
          <w:numId w:val="12"/>
        </w:numPr>
        <w:shd w:val="clear" w:color="auto" w:fill="F9F9F9"/>
        <w:tabs>
          <w:tab w:val="clear" w:pos="644"/>
          <w:tab w:val="num" w:pos="567"/>
        </w:tabs>
        <w:spacing w:line="288" w:lineRule="atLeast"/>
        <w:ind w:left="567" w:hanging="567"/>
        <w:jc w:val="both"/>
        <w:rPr>
          <w:rFonts w:asciiTheme="minorHAnsi" w:hAnsiTheme="minorHAnsi"/>
          <w:sz w:val="20"/>
          <w:szCs w:val="20"/>
        </w:rPr>
      </w:pPr>
      <w:r w:rsidRPr="00D23CFF">
        <w:rPr>
          <w:rStyle w:val="Enfasigrassetto"/>
          <w:rFonts w:asciiTheme="minorHAnsi" w:hAnsiTheme="minorHAnsi"/>
          <w:b w:val="0"/>
          <w:sz w:val="20"/>
          <w:szCs w:val="20"/>
        </w:rPr>
        <w:t>Decreto del Presidente della Repubblica del 5 0ttobre 2010 n. 207 “R</w:t>
      </w:r>
      <w:r w:rsidRPr="00D23CFF">
        <w:rPr>
          <w:rFonts w:asciiTheme="minorHAnsi" w:hAnsiTheme="minorHAnsi"/>
          <w:sz w:val="20"/>
          <w:szCs w:val="20"/>
        </w:rPr>
        <w:t>egolamento di esecuzione e attuazione del decreto legislativo 12 aprile 2006, n. 163, recante Codice dei contratti pubblici relativi a lavori, servizi e forniture in attuazione delle Direttive 2004/17/CE e 2004/18/CE</w:t>
      </w:r>
    </w:p>
    <w:p w:rsidR="00AD35B0" w:rsidRPr="00EA213D" w:rsidRDefault="008B24C4" w:rsidP="0093020D">
      <w:pPr>
        <w:numPr>
          <w:ilvl w:val="0"/>
          <w:numId w:val="12"/>
        </w:numPr>
        <w:tabs>
          <w:tab w:val="clear" w:pos="644"/>
        </w:tabs>
        <w:ind w:left="567" w:right="125" w:hanging="567"/>
        <w:jc w:val="both"/>
        <w:rPr>
          <w:rFonts w:ascii="Calibri" w:hAnsi="Calibri"/>
          <w:sz w:val="20"/>
          <w:szCs w:val="20"/>
        </w:rPr>
      </w:pPr>
      <w:r w:rsidRPr="00216F25">
        <w:rPr>
          <w:rFonts w:ascii="Calibri" w:hAnsi="Calibri"/>
          <w:sz w:val="20"/>
          <w:szCs w:val="20"/>
        </w:rPr>
        <w:t>D.</w:t>
      </w:r>
      <w:r>
        <w:rPr>
          <w:rFonts w:ascii="Calibri" w:hAnsi="Calibri"/>
          <w:sz w:val="20"/>
          <w:szCs w:val="20"/>
        </w:rPr>
        <w:t xml:space="preserve">M. del </w:t>
      </w:r>
      <w:r w:rsidRPr="00216F25">
        <w:rPr>
          <w:rFonts w:ascii="Calibri" w:hAnsi="Calibri"/>
          <w:sz w:val="20"/>
          <w:szCs w:val="20"/>
        </w:rPr>
        <w:t>MiSE n. 37/2008, concernente il riordino delle disposizioni in materia di progettazione, realizzazione, installazione e manutenzione degli impianti all'interno degli edifici, ai sensi dell'art. 11-quaterdecies, comma 13, lett. a), della L. 248/2005</w:t>
      </w:r>
      <w:r>
        <w:rPr>
          <w:rFonts w:ascii="Calibri" w:hAnsi="Calibri"/>
          <w:sz w:val="20"/>
          <w:szCs w:val="20"/>
        </w:rPr>
        <w:t>, è</w:t>
      </w:r>
      <w:r w:rsidR="00C271A0" w:rsidRPr="00EA213D">
        <w:rPr>
          <w:rFonts w:ascii="Calibri" w:hAnsi="Calibri"/>
          <w:sz w:val="20"/>
          <w:szCs w:val="20"/>
        </w:rPr>
        <w:t xml:space="preserve"> stato pubblicato sulla Gazzetta Ufficiale n. 61 del 12.3.2008, il.</w:t>
      </w:r>
      <w:r>
        <w:rPr>
          <w:rFonts w:ascii="Calibri" w:hAnsi="Calibri"/>
          <w:sz w:val="20"/>
          <w:szCs w:val="20"/>
        </w:rPr>
        <w:t xml:space="preserve"> </w:t>
      </w:r>
      <w:r w:rsidR="00C271A0" w:rsidRPr="00EA213D">
        <w:rPr>
          <w:rFonts w:ascii="Calibri" w:hAnsi="Calibri"/>
          <w:sz w:val="20"/>
          <w:szCs w:val="20"/>
        </w:rPr>
        <w:t>A decorrere dal 27.3.2008, data di entrata in vigore del nuovo Regolamento, come disposto dall'art. 3 della L. 17/2007 s</w:t>
      </w:r>
      <w:r>
        <w:rPr>
          <w:rFonts w:ascii="Calibri" w:hAnsi="Calibri"/>
          <w:sz w:val="20"/>
          <w:szCs w:val="20"/>
        </w:rPr>
        <w:t>ono stati</w:t>
      </w:r>
      <w:r w:rsidR="00C271A0" w:rsidRPr="00EA213D">
        <w:rPr>
          <w:rFonts w:ascii="Calibri" w:hAnsi="Calibri"/>
          <w:sz w:val="20"/>
          <w:szCs w:val="20"/>
        </w:rPr>
        <w:t xml:space="preserve"> abrogati il DPR n. 447/1991, gli articoli da 107 a 121 del DPR n. 380/2001 (la cui entrata in vigore era stata differita al 31.3.2008 dalla L. 31/2008), e la L. n. 46/1990, ad eccezione degli articoli 8, 14 e 16. </w:t>
      </w:r>
      <w:r w:rsidR="00C271A0" w:rsidRPr="00EA213D">
        <w:rPr>
          <w:rFonts w:ascii="Calibri" w:hAnsi="Calibri"/>
          <w:iCs/>
          <w:sz w:val="20"/>
          <w:szCs w:val="20"/>
        </w:rPr>
        <w:t xml:space="preserve">D.Lgs 626/94, </w:t>
      </w:r>
      <w:r w:rsidR="00C271A0" w:rsidRPr="00EA213D">
        <w:rPr>
          <w:rFonts w:ascii="Calibri" w:hAnsi="Calibri"/>
          <w:sz w:val="20"/>
          <w:szCs w:val="20"/>
        </w:rPr>
        <w:t>abrogato e sostituito da ultimo dal D.Lgs n. 81 del 9 aprile 2008 in materia di tutela della salute e della sicurezza nei luoghi di lavoro, a sua volta integrato e corretto dal D. Lgs n. 106 del 3 agosto 2009;</w:t>
      </w:r>
    </w:p>
    <w:p w:rsidR="00AD35B0" w:rsidRPr="00EA213D" w:rsidRDefault="00C271A0" w:rsidP="00BE7ABC">
      <w:pPr>
        <w:pStyle w:val="Paragrafoelenco"/>
        <w:numPr>
          <w:ilvl w:val="0"/>
          <w:numId w:val="29"/>
        </w:numPr>
        <w:spacing w:before="120"/>
        <w:ind w:left="567" w:right="126" w:hanging="567"/>
        <w:jc w:val="both"/>
        <w:rPr>
          <w:sz w:val="20"/>
          <w:szCs w:val="20"/>
        </w:rPr>
      </w:pPr>
      <w:r w:rsidRPr="00EA213D">
        <w:rPr>
          <w:sz w:val="20"/>
          <w:szCs w:val="20"/>
        </w:rPr>
        <w:t>D</w:t>
      </w:r>
      <w:r w:rsidR="00103C4C">
        <w:rPr>
          <w:sz w:val="20"/>
          <w:szCs w:val="20"/>
        </w:rPr>
        <w:t>.</w:t>
      </w:r>
      <w:r w:rsidRPr="00EA213D">
        <w:rPr>
          <w:sz w:val="20"/>
          <w:szCs w:val="20"/>
        </w:rPr>
        <w:t xml:space="preserve"> Lgs</w:t>
      </w:r>
      <w:r w:rsidR="00103C4C">
        <w:rPr>
          <w:sz w:val="20"/>
          <w:szCs w:val="20"/>
        </w:rPr>
        <w:t xml:space="preserve"> </w:t>
      </w:r>
      <w:r w:rsidRPr="00EA213D">
        <w:rPr>
          <w:sz w:val="20"/>
          <w:szCs w:val="20"/>
        </w:rPr>
        <w:t>6 settembre 2011, n. 159 “Codice delle leggi antimafia e delle misure di prevenzione, nonché nuove disposizioni in materia di documentazione antimafia a norma degli articoli 1 e 2 della Legge 13 agosto 2010 n. 136”, e successive modifiche e integrazioni</w:t>
      </w:r>
      <w:r w:rsidR="00103C4C" w:rsidRPr="00216F25">
        <w:rPr>
          <w:sz w:val="20"/>
          <w:szCs w:val="20"/>
        </w:rPr>
        <w:t>Legge 6 novembre 2012, n. 190</w:t>
      </w:r>
      <w:r w:rsidR="00103C4C">
        <w:rPr>
          <w:sz w:val="20"/>
          <w:szCs w:val="20"/>
        </w:rPr>
        <w:t xml:space="preserve"> contenente </w:t>
      </w:r>
      <w:r w:rsidRPr="00EA213D">
        <w:rPr>
          <w:sz w:val="20"/>
          <w:szCs w:val="20"/>
        </w:rPr>
        <w:t>disposizioni per la prevenzione e la repressione della corruzione e dell’illegalità nella pubblica amministrazione.</w:t>
      </w:r>
    </w:p>
    <w:p w:rsidR="006D3881" w:rsidRDefault="006D3881" w:rsidP="005643E3">
      <w:pPr>
        <w:spacing w:before="240" w:after="120"/>
        <w:ind w:right="126"/>
        <w:jc w:val="both"/>
      </w:pPr>
    </w:p>
    <w:p w:rsidR="000B15ED" w:rsidRDefault="000B15ED" w:rsidP="00A374B9">
      <w:pPr>
        <w:spacing w:before="240" w:after="120"/>
        <w:ind w:right="126"/>
        <w:jc w:val="both"/>
      </w:pPr>
    </w:p>
    <w:p w:rsidR="00530739" w:rsidRDefault="00530739" w:rsidP="006C00EB">
      <w:pPr>
        <w:spacing w:before="240" w:after="120"/>
        <w:ind w:right="126"/>
        <w:jc w:val="both"/>
      </w:pPr>
    </w:p>
    <w:p w:rsidR="00AD35B0" w:rsidRDefault="00AD35B0" w:rsidP="00EA213D"/>
    <w:p w:rsidR="000B15ED" w:rsidRDefault="000B15ED" w:rsidP="00EA213D"/>
    <w:p w:rsidR="00686852" w:rsidRDefault="00686852" w:rsidP="00EA213D"/>
    <w:p w:rsidR="00686852" w:rsidRDefault="00686852" w:rsidP="00EA213D"/>
    <w:p w:rsidR="00686852" w:rsidRDefault="00686852" w:rsidP="00EA213D"/>
    <w:p w:rsidR="00686852" w:rsidRDefault="00686852" w:rsidP="00EA213D"/>
    <w:p w:rsidR="00686852" w:rsidRDefault="00686852" w:rsidP="00EA213D"/>
    <w:p w:rsidR="00686852" w:rsidRDefault="00686852" w:rsidP="00EA213D"/>
    <w:p w:rsidR="00686852" w:rsidRDefault="00686852" w:rsidP="00EA213D"/>
    <w:p w:rsidR="00686852" w:rsidRDefault="00686852" w:rsidP="00EA213D"/>
    <w:p w:rsidR="00686852" w:rsidRDefault="00686852" w:rsidP="00EA213D"/>
    <w:tbl>
      <w:tblPr>
        <w:tblW w:w="9943" w:type="dxa"/>
        <w:tblInd w:w="70" w:type="dxa"/>
        <w:tblLayout w:type="fixed"/>
        <w:tblCellMar>
          <w:left w:w="70" w:type="dxa"/>
          <w:right w:w="70" w:type="dxa"/>
        </w:tblCellMar>
        <w:tblLook w:val="04A0" w:firstRow="1" w:lastRow="0" w:firstColumn="1" w:lastColumn="0" w:noHBand="0" w:noVBand="1"/>
      </w:tblPr>
      <w:tblGrid>
        <w:gridCol w:w="1634"/>
        <w:gridCol w:w="1908"/>
        <w:gridCol w:w="680"/>
        <w:gridCol w:w="587"/>
        <w:gridCol w:w="1563"/>
        <w:gridCol w:w="1118"/>
        <w:gridCol w:w="2453"/>
      </w:tblGrid>
      <w:tr w:rsidR="00DE482D" w:rsidRPr="00FA2779" w:rsidTr="00DE482D">
        <w:trPr>
          <w:trHeight w:val="298"/>
        </w:trPr>
        <w:tc>
          <w:tcPr>
            <w:tcW w:w="9943" w:type="dxa"/>
            <w:gridSpan w:val="7"/>
            <w:tcBorders>
              <w:top w:val="nil"/>
              <w:left w:val="nil"/>
              <w:bottom w:val="nil"/>
              <w:right w:val="nil"/>
            </w:tcBorders>
            <w:shd w:val="clear" w:color="auto" w:fill="auto"/>
            <w:noWrap/>
            <w:vAlign w:val="bottom"/>
            <w:hideMark/>
          </w:tcPr>
          <w:p w:rsidR="00DE482D" w:rsidRPr="00FA2779" w:rsidRDefault="00840014" w:rsidP="00611533">
            <w:pPr>
              <w:ind w:right="6615"/>
              <w:outlineLvl w:val="1"/>
              <w:rPr>
                <w:rFonts w:ascii="Calibri" w:hAnsi="Calibri"/>
                <w:color w:val="000000"/>
                <w:sz w:val="20"/>
                <w:szCs w:val="20"/>
              </w:rPr>
            </w:pPr>
            <w:bookmarkStart w:id="47" w:name="_Toc432090737"/>
            <w:r>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142875</wp:posOffset>
                      </wp:positionV>
                      <wp:extent cx="180975" cy="26670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6670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in;margin-top:11.25pt;width:14.2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" filled="f" stroked="f">
                      <v:path arrowok="t"/>
                      <v:textbox style="mso-fit-shape-to-text:t"/>
                    </v:shape>
                  </w:pict>
                </mc:Fallback>
              </mc:AlternateContent>
            </w:r>
            <w:bookmarkEnd w:id="47"/>
          </w:p>
          <w:tbl>
            <w:tblPr>
              <w:tblW w:w="16776" w:type="dxa"/>
              <w:tblCellSpacing w:w="0" w:type="dxa"/>
              <w:tblLayout w:type="fixed"/>
              <w:tblCellMar>
                <w:left w:w="0" w:type="dxa"/>
                <w:right w:w="0" w:type="dxa"/>
              </w:tblCellMar>
              <w:tblLook w:val="04A0" w:firstRow="1" w:lastRow="0" w:firstColumn="1" w:lastColumn="0" w:noHBand="0" w:noVBand="1"/>
            </w:tblPr>
            <w:tblGrid>
              <w:gridCol w:w="16776"/>
            </w:tblGrid>
            <w:tr w:rsidR="00DE482D" w:rsidRPr="00FA2779" w:rsidTr="00DE482D">
              <w:trPr>
                <w:trHeight w:val="298"/>
                <w:tblCellSpacing w:w="0" w:type="dxa"/>
              </w:trPr>
              <w:tc>
                <w:tcPr>
                  <w:tcW w:w="16776" w:type="dxa"/>
                  <w:tcBorders>
                    <w:top w:val="nil"/>
                    <w:left w:val="nil"/>
                    <w:bottom w:val="nil"/>
                    <w:right w:val="nil"/>
                  </w:tcBorders>
                  <w:shd w:val="clear" w:color="auto" w:fill="auto"/>
                  <w:noWrap/>
                  <w:vAlign w:val="center"/>
                  <w:hideMark/>
                </w:tcPr>
                <w:p w:rsidR="00DE482D" w:rsidRPr="00DE482D" w:rsidRDefault="00DE482D" w:rsidP="00611533">
                  <w:pPr>
                    <w:pStyle w:val="Titolo"/>
                    <w:jc w:val="left"/>
                    <w:outlineLvl w:val="1"/>
                    <w:rPr>
                      <w:sz w:val="24"/>
                    </w:rPr>
                  </w:pPr>
                  <w:bookmarkStart w:id="48" w:name="_Toc432090738"/>
                  <w:r w:rsidRPr="00DE482D">
                    <w:rPr>
                      <w:sz w:val="24"/>
                    </w:rPr>
                    <w:lastRenderedPageBreak/>
                    <w:t>Allegato  1 : Elenco delle misure FEASR che comprendono operazioni di investimento</w:t>
                  </w:r>
                  <w:bookmarkEnd w:id="48"/>
                </w:p>
              </w:tc>
            </w:tr>
          </w:tbl>
          <w:p w:rsidR="00DE482D" w:rsidRPr="00FA2779" w:rsidRDefault="00DE482D" w:rsidP="00611533">
            <w:pPr>
              <w:ind w:right="6615"/>
              <w:outlineLvl w:val="1"/>
              <w:rPr>
                <w:rFonts w:ascii="Calibri" w:hAnsi="Calibri"/>
                <w:color w:val="000000"/>
                <w:sz w:val="20"/>
                <w:szCs w:val="20"/>
              </w:rPr>
            </w:pPr>
          </w:p>
        </w:tc>
      </w:tr>
      <w:tr w:rsidR="00DE482D" w:rsidRPr="00FA2779" w:rsidTr="00DE482D">
        <w:trPr>
          <w:trHeight w:val="298"/>
        </w:trPr>
        <w:tc>
          <w:tcPr>
            <w:tcW w:w="4809" w:type="dxa"/>
            <w:gridSpan w:val="4"/>
            <w:tcBorders>
              <w:top w:val="nil"/>
              <w:left w:val="nil"/>
              <w:bottom w:val="nil"/>
              <w:right w:val="nil"/>
            </w:tcBorders>
            <w:shd w:val="clear" w:color="auto" w:fill="auto"/>
            <w:noWrap/>
            <w:vAlign w:val="bottom"/>
            <w:hideMark/>
          </w:tcPr>
          <w:p w:rsidR="00DE482D" w:rsidRPr="00FA2779" w:rsidRDefault="00DE482D" w:rsidP="00127F05">
            <w:pPr>
              <w:ind w:right="6615"/>
              <w:rPr>
                <w:rFonts w:ascii="Calibri" w:hAnsi="Calibri"/>
                <w:color w:val="000000"/>
                <w:sz w:val="20"/>
                <w:szCs w:val="20"/>
              </w:rPr>
            </w:pPr>
          </w:p>
        </w:tc>
        <w:tc>
          <w:tcPr>
            <w:tcW w:w="5134" w:type="dxa"/>
            <w:gridSpan w:val="3"/>
            <w:tcBorders>
              <w:top w:val="nil"/>
              <w:left w:val="nil"/>
              <w:bottom w:val="nil"/>
              <w:right w:val="nil"/>
            </w:tcBorders>
            <w:shd w:val="clear" w:color="auto" w:fill="auto"/>
            <w:noWrap/>
            <w:vAlign w:val="bottom"/>
            <w:hideMark/>
          </w:tcPr>
          <w:p w:rsidR="00DE482D" w:rsidRPr="00FA2779" w:rsidRDefault="00DE482D" w:rsidP="00127F05">
            <w:pPr>
              <w:ind w:right="6615"/>
              <w:rPr>
                <w:rFonts w:ascii="Calibri" w:hAnsi="Calibri"/>
                <w:color w:val="000000"/>
                <w:sz w:val="20"/>
                <w:szCs w:val="20"/>
              </w:rPr>
            </w:pPr>
          </w:p>
        </w:tc>
      </w:tr>
      <w:tr w:rsidR="00DE482D" w:rsidRPr="00FA2779" w:rsidTr="00DE482D">
        <w:trPr>
          <w:trHeight w:val="298"/>
        </w:trPr>
        <w:tc>
          <w:tcPr>
            <w:tcW w:w="9943" w:type="dxa"/>
            <w:gridSpan w:val="7"/>
            <w:tcBorders>
              <w:top w:val="nil"/>
              <w:left w:val="nil"/>
              <w:bottom w:val="nil"/>
              <w:right w:val="nil"/>
            </w:tcBorders>
            <w:shd w:val="clear" w:color="auto" w:fill="auto"/>
            <w:noWrap/>
            <w:vAlign w:val="bottom"/>
          </w:tcPr>
          <w:p w:rsidR="00DE482D" w:rsidRPr="00FA2779" w:rsidRDefault="00DE482D" w:rsidP="00127F05">
            <w:pPr>
              <w:ind w:right="72"/>
              <w:rPr>
                <w:rFonts w:ascii="Calibri" w:hAnsi="Calibri"/>
                <w:color w:val="222222"/>
                <w:sz w:val="20"/>
                <w:szCs w:val="20"/>
              </w:rPr>
            </w:pPr>
            <w:r w:rsidRPr="00FA2779">
              <w:rPr>
                <w:rFonts w:ascii="Calibri" w:hAnsi="Calibri"/>
                <w:color w:val="222222"/>
                <w:sz w:val="20"/>
                <w:szCs w:val="20"/>
              </w:rPr>
              <w:t xml:space="preserve">Misure che comprendono operazioni di </w:t>
            </w:r>
            <w:r>
              <w:rPr>
                <w:rFonts w:ascii="Calibri" w:hAnsi="Calibri"/>
                <w:color w:val="222222"/>
                <w:sz w:val="20"/>
                <w:szCs w:val="20"/>
              </w:rPr>
              <w:t>i</w:t>
            </w:r>
            <w:r w:rsidRPr="00FA2779">
              <w:rPr>
                <w:rFonts w:ascii="Calibri" w:hAnsi="Calibri"/>
                <w:color w:val="222222"/>
                <w:sz w:val="20"/>
                <w:szCs w:val="20"/>
              </w:rPr>
              <w:t>nvestimento come di seguito elencato.</w:t>
            </w:r>
          </w:p>
          <w:p w:rsidR="00DE482D" w:rsidRPr="00FA2779" w:rsidRDefault="00DE482D" w:rsidP="00127F05">
            <w:pPr>
              <w:ind w:right="72"/>
              <w:rPr>
                <w:rFonts w:ascii="Calibri" w:hAnsi="Calibri"/>
                <w:color w:val="000000"/>
                <w:sz w:val="20"/>
                <w:szCs w:val="20"/>
              </w:rPr>
            </w:pPr>
            <w:r w:rsidRPr="00FA2779">
              <w:rPr>
                <w:rFonts w:ascii="Calibri" w:hAnsi="Calibri"/>
                <w:color w:val="000000"/>
                <w:sz w:val="20"/>
                <w:szCs w:val="20"/>
              </w:rPr>
              <w:t>Questa lista non intende essere esaustiva, ma è solo un approccio indicativo per il targeting di</w:t>
            </w:r>
            <w:r>
              <w:rPr>
                <w:rFonts w:ascii="Calibri" w:hAnsi="Calibri"/>
                <w:color w:val="000000"/>
                <w:sz w:val="20"/>
                <w:szCs w:val="20"/>
              </w:rPr>
              <w:t xml:space="preserve"> </w:t>
            </w:r>
            <w:r w:rsidRPr="00FA2779">
              <w:rPr>
                <w:rFonts w:ascii="Calibri" w:hAnsi="Calibri"/>
                <w:color w:val="000000"/>
                <w:sz w:val="20"/>
                <w:szCs w:val="20"/>
              </w:rPr>
              <w:t xml:space="preserve">adeguamento dei </w:t>
            </w:r>
            <w:r>
              <w:rPr>
                <w:rFonts w:ascii="Calibri" w:hAnsi="Calibri"/>
                <w:color w:val="000000"/>
                <w:sz w:val="20"/>
                <w:szCs w:val="20"/>
              </w:rPr>
              <w:t>p</w:t>
            </w:r>
            <w:r w:rsidRPr="00FA2779">
              <w:rPr>
                <w:rFonts w:ascii="Calibri" w:hAnsi="Calibri"/>
                <w:color w:val="000000"/>
                <w:sz w:val="20"/>
                <w:szCs w:val="20"/>
              </w:rPr>
              <w:t>rogrammi di sviluppo rurale. I pagamenti set nel regolamento già utilizzando</w:t>
            </w:r>
            <w:r>
              <w:rPr>
                <w:rFonts w:ascii="Calibri" w:hAnsi="Calibri"/>
                <w:color w:val="000000"/>
                <w:sz w:val="20"/>
                <w:szCs w:val="20"/>
              </w:rPr>
              <w:t xml:space="preserve"> </w:t>
            </w:r>
            <w:r w:rsidRPr="00FA2779">
              <w:rPr>
                <w:rFonts w:ascii="Calibri" w:hAnsi="Calibri"/>
                <w:color w:val="000000"/>
                <w:sz w:val="20"/>
                <w:szCs w:val="20"/>
              </w:rPr>
              <w:t>una tabella standard di costi unitari (cioè per ettaro o per unità di bestiame adulto) sono stati esclusi.</w:t>
            </w:r>
          </w:p>
        </w:tc>
      </w:tr>
      <w:tr w:rsidR="00DE482D" w:rsidRPr="00FA2779" w:rsidTr="00DE482D">
        <w:trPr>
          <w:trHeight w:val="641"/>
        </w:trPr>
        <w:tc>
          <w:tcPr>
            <w:tcW w:w="9943" w:type="dxa"/>
            <w:gridSpan w:val="7"/>
            <w:tcBorders>
              <w:top w:val="nil"/>
              <w:left w:val="nil"/>
              <w:bottom w:val="nil"/>
              <w:right w:val="nil"/>
            </w:tcBorders>
            <w:shd w:val="clear" w:color="auto" w:fill="auto"/>
            <w:vAlign w:val="bottom"/>
            <w:hideMark/>
          </w:tcPr>
          <w:p w:rsidR="00DE482D" w:rsidRPr="00FA2779" w:rsidRDefault="00DE482D" w:rsidP="00127F05">
            <w:pPr>
              <w:ind w:right="6615"/>
              <w:jc w:val="center"/>
              <w:rPr>
                <w:rFonts w:ascii="Calibri" w:hAnsi="Calibri"/>
                <w:color w:val="000000"/>
                <w:sz w:val="20"/>
                <w:szCs w:val="20"/>
              </w:rPr>
            </w:pPr>
          </w:p>
        </w:tc>
      </w:tr>
      <w:tr w:rsidR="00DE482D" w:rsidRPr="00FA2779" w:rsidTr="00454E51">
        <w:trPr>
          <w:trHeight w:val="195"/>
        </w:trPr>
        <w:tc>
          <w:tcPr>
            <w:tcW w:w="3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482D" w:rsidRPr="00FA2779" w:rsidRDefault="00DE482D" w:rsidP="00127F05">
            <w:pPr>
              <w:jc w:val="center"/>
              <w:rPr>
                <w:rFonts w:ascii="Calibri" w:hAnsi="Calibri"/>
                <w:b/>
                <w:bCs/>
                <w:color w:val="222222"/>
                <w:sz w:val="16"/>
                <w:szCs w:val="16"/>
              </w:rPr>
            </w:pPr>
            <w:r w:rsidRPr="00FA2779">
              <w:rPr>
                <w:rFonts w:ascii="Calibri" w:hAnsi="Calibri"/>
                <w:b/>
                <w:bCs/>
                <w:color w:val="222222"/>
                <w:sz w:val="16"/>
                <w:szCs w:val="16"/>
              </w:rPr>
              <w:t xml:space="preserve">Misura sotto </w:t>
            </w:r>
            <w:r w:rsidRPr="00FA2779">
              <w:rPr>
                <w:rFonts w:ascii="Calibri" w:hAnsi="Calibri"/>
                <w:b/>
                <w:bCs/>
                <w:color w:val="222222"/>
                <w:sz w:val="16"/>
                <w:szCs w:val="16"/>
              </w:rPr>
              <w:br/>
              <w:t xml:space="preserve">Regolamento (UE) n 1305/2013 o Regolamento (UE) n 1303/2013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b/>
                <w:bCs/>
                <w:color w:val="222222"/>
                <w:sz w:val="16"/>
                <w:szCs w:val="16"/>
              </w:rPr>
            </w:pPr>
            <w:r w:rsidRPr="00FA2779">
              <w:rPr>
                <w:rFonts w:ascii="Calibri" w:hAnsi="Calibri"/>
                <w:b/>
                <w:bCs/>
                <w:color w:val="222222"/>
                <w:sz w:val="16"/>
                <w:szCs w:val="16"/>
              </w:rPr>
              <w:t>Codice</w:t>
            </w:r>
          </w:p>
        </w:tc>
        <w:tc>
          <w:tcPr>
            <w:tcW w:w="21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E482D" w:rsidRPr="00FA2779" w:rsidRDefault="00DE482D" w:rsidP="00127F05">
            <w:pPr>
              <w:jc w:val="center"/>
              <w:rPr>
                <w:rFonts w:ascii="Calibri" w:hAnsi="Calibri"/>
                <w:b/>
                <w:bCs/>
                <w:color w:val="222222"/>
                <w:sz w:val="16"/>
                <w:szCs w:val="16"/>
              </w:rPr>
            </w:pPr>
            <w:r w:rsidRPr="00FA2779">
              <w:rPr>
                <w:rFonts w:ascii="Calibri" w:hAnsi="Calibri"/>
                <w:b/>
                <w:bCs/>
                <w:color w:val="222222"/>
                <w:sz w:val="16"/>
                <w:szCs w:val="16"/>
              </w:rPr>
              <w:t>Sottomisura ai fini della programmazione</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82D" w:rsidRPr="00FA2779" w:rsidRDefault="00DE482D" w:rsidP="00127F05">
            <w:pPr>
              <w:jc w:val="center"/>
              <w:rPr>
                <w:rFonts w:ascii="Calibri" w:hAnsi="Calibri"/>
                <w:b/>
                <w:bCs/>
                <w:color w:val="222222"/>
                <w:sz w:val="16"/>
                <w:szCs w:val="16"/>
              </w:rPr>
            </w:pPr>
            <w:r w:rsidRPr="00FA2779">
              <w:rPr>
                <w:rFonts w:ascii="Calibri" w:hAnsi="Calibri"/>
                <w:b/>
                <w:bCs/>
                <w:color w:val="222222"/>
                <w:sz w:val="16"/>
                <w:szCs w:val="16"/>
              </w:rPr>
              <w:t xml:space="preserve">Presenza di </w:t>
            </w:r>
            <w:r w:rsidRPr="00FA2779">
              <w:rPr>
                <w:rFonts w:ascii="Calibri" w:hAnsi="Calibri"/>
                <w:b/>
                <w:bCs/>
                <w:color w:val="222222"/>
                <w:sz w:val="16"/>
                <w:szCs w:val="16"/>
              </w:rPr>
              <w:br/>
              <w:t>operazioni di investimento</w:t>
            </w:r>
            <w:r w:rsidRPr="00FA2779">
              <w:rPr>
                <w:rFonts w:ascii="Calibri" w:hAnsi="Calibri"/>
                <w:b/>
                <w:bCs/>
                <w:color w:val="222222"/>
                <w:sz w:val="16"/>
                <w:szCs w:val="16"/>
              </w:rPr>
              <w:br/>
              <w:t>(Sì No)</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b/>
                <w:bCs/>
                <w:color w:val="222222"/>
                <w:sz w:val="16"/>
                <w:szCs w:val="16"/>
              </w:rPr>
            </w:pPr>
            <w:r w:rsidRPr="00FA2779">
              <w:rPr>
                <w:rFonts w:ascii="Calibri" w:hAnsi="Calibri"/>
                <w:b/>
                <w:bCs/>
                <w:color w:val="222222"/>
                <w:sz w:val="16"/>
                <w:szCs w:val="16"/>
              </w:rPr>
              <w:t>Note</w:t>
            </w:r>
          </w:p>
        </w:tc>
      </w:tr>
      <w:tr w:rsidR="00DE482D" w:rsidRPr="00FA2779" w:rsidTr="00454E51">
        <w:trPr>
          <w:trHeight w:val="298"/>
        </w:trPr>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b/>
                <w:bCs/>
                <w:color w:val="222222"/>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b/>
                <w:bCs/>
                <w:color w:val="222222"/>
                <w:sz w:val="16"/>
                <w:szCs w:val="16"/>
              </w:rPr>
            </w:pPr>
          </w:p>
        </w:tc>
        <w:tc>
          <w:tcPr>
            <w:tcW w:w="2150" w:type="dxa"/>
            <w:gridSpan w:val="2"/>
            <w:vMerge/>
            <w:tcBorders>
              <w:top w:val="single" w:sz="4" w:space="0" w:color="auto"/>
              <w:left w:val="single" w:sz="4" w:space="0" w:color="auto"/>
              <w:bottom w:val="single" w:sz="4" w:space="0" w:color="000000"/>
              <w:right w:val="single" w:sz="4" w:space="0" w:color="000000"/>
            </w:tcBorders>
            <w:vAlign w:val="center"/>
            <w:hideMark/>
          </w:tcPr>
          <w:p w:rsidR="00DE482D" w:rsidRPr="00FA2779" w:rsidRDefault="00DE482D" w:rsidP="00127F05">
            <w:pPr>
              <w:rPr>
                <w:rFonts w:ascii="Calibri" w:hAnsi="Calibri"/>
                <w:b/>
                <w:bCs/>
                <w:color w:val="222222"/>
                <w:sz w:val="16"/>
                <w:szCs w:val="16"/>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b/>
                <w:bCs/>
                <w:color w:val="222222"/>
                <w:sz w:val="16"/>
                <w:szCs w:val="16"/>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b/>
                <w:bCs/>
                <w:color w:val="222222"/>
                <w:sz w:val="16"/>
                <w:szCs w:val="16"/>
              </w:rPr>
            </w:pPr>
          </w:p>
        </w:tc>
      </w:tr>
      <w:tr w:rsidR="00DE482D" w:rsidRPr="00FA2779" w:rsidTr="00454E51">
        <w:trPr>
          <w:trHeight w:val="671"/>
        </w:trPr>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b/>
                <w:bCs/>
                <w:color w:val="222222"/>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b/>
                <w:bCs/>
                <w:color w:val="222222"/>
                <w:sz w:val="16"/>
                <w:szCs w:val="16"/>
              </w:rPr>
            </w:pPr>
          </w:p>
        </w:tc>
        <w:tc>
          <w:tcPr>
            <w:tcW w:w="2150" w:type="dxa"/>
            <w:gridSpan w:val="2"/>
            <w:vMerge/>
            <w:tcBorders>
              <w:top w:val="single" w:sz="4" w:space="0" w:color="auto"/>
              <w:left w:val="single" w:sz="4" w:space="0" w:color="auto"/>
              <w:bottom w:val="single" w:sz="4" w:space="0" w:color="000000"/>
              <w:right w:val="single" w:sz="4" w:space="0" w:color="000000"/>
            </w:tcBorders>
            <w:vAlign w:val="center"/>
            <w:hideMark/>
          </w:tcPr>
          <w:p w:rsidR="00DE482D" w:rsidRPr="00FA2779" w:rsidRDefault="00DE482D" w:rsidP="00127F05">
            <w:pPr>
              <w:rPr>
                <w:rFonts w:ascii="Calibri" w:hAnsi="Calibri"/>
                <w:b/>
                <w:bCs/>
                <w:color w:val="222222"/>
                <w:sz w:val="16"/>
                <w:szCs w:val="16"/>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b/>
                <w:bCs/>
                <w:color w:val="222222"/>
                <w:sz w:val="16"/>
                <w:szCs w:val="16"/>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b/>
                <w:bCs/>
                <w:color w:val="222222"/>
                <w:sz w:val="16"/>
                <w:szCs w:val="16"/>
              </w:rPr>
            </w:pPr>
          </w:p>
        </w:tc>
      </w:tr>
      <w:tr w:rsidR="00DE482D" w:rsidRPr="00FA2779" w:rsidTr="00454E51">
        <w:trPr>
          <w:trHeight w:val="581"/>
        </w:trPr>
        <w:tc>
          <w:tcPr>
            <w:tcW w:w="1634" w:type="dxa"/>
            <w:vMerge w:val="restart"/>
            <w:tcBorders>
              <w:top w:val="nil"/>
              <w:left w:val="single" w:sz="4" w:space="0" w:color="auto"/>
              <w:bottom w:val="nil"/>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14 </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Trasferimento di conoscenze e azioni di informazione</w:t>
            </w:r>
          </w:p>
        </w:tc>
        <w:tc>
          <w:tcPr>
            <w:tcW w:w="680" w:type="dxa"/>
            <w:vMerge w:val="restart"/>
            <w:tcBorders>
              <w:top w:val="nil"/>
              <w:left w:val="single" w:sz="4" w:space="0" w:color="auto"/>
              <w:bottom w:val="nil"/>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1</w:t>
            </w: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ad azioni di formazione professionale e acquisizione</w:t>
            </w:r>
            <w:r w:rsidRPr="00FA2779">
              <w:rPr>
                <w:rFonts w:ascii="Calibri" w:hAnsi="Calibri"/>
                <w:color w:val="222222"/>
                <w:sz w:val="16"/>
                <w:szCs w:val="16"/>
              </w:rPr>
              <w:br/>
              <w:t xml:space="preserve"> di competenze</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No</w:t>
            </w:r>
          </w:p>
        </w:tc>
        <w:tc>
          <w:tcPr>
            <w:tcW w:w="2453"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r>
      <w:tr w:rsidR="00DE482D" w:rsidRPr="00FA2779" w:rsidTr="00454E51">
        <w:trPr>
          <w:trHeight w:val="298"/>
        </w:trPr>
        <w:tc>
          <w:tcPr>
            <w:tcW w:w="1634" w:type="dxa"/>
            <w:vMerge/>
            <w:tcBorders>
              <w:top w:val="nil"/>
              <w:left w:val="single" w:sz="4" w:space="0" w:color="auto"/>
              <w:bottom w:val="nil"/>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nil"/>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ad attività dimostrative e azioni di informazione</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Default="00C1062E" w:rsidP="00127F05">
            <w:pPr>
              <w:jc w:val="center"/>
              <w:rPr>
                <w:rFonts w:ascii="Calibri" w:hAnsi="Calibri"/>
                <w:color w:val="222222"/>
                <w:sz w:val="16"/>
                <w:szCs w:val="16"/>
              </w:rPr>
            </w:pPr>
            <w:r>
              <w:rPr>
                <w:rFonts w:ascii="Calibri" w:hAnsi="Calibri"/>
                <w:color w:val="222222"/>
                <w:sz w:val="16"/>
                <w:szCs w:val="16"/>
              </w:rPr>
              <w:t>Parzialmente</w:t>
            </w:r>
          </w:p>
          <w:p w:rsidR="00C1062E" w:rsidRPr="00290737" w:rsidRDefault="00C1062E" w:rsidP="00C1062E">
            <w:pPr>
              <w:rPr>
                <w:rFonts w:ascii="Calibri" w:hAnsi="Calibri"/>
                <w:color w:val="222222"/>
                <w:sz w:val="16"/>
                <w:szCs w:val="16"/>
              </w:rPr>
            </w:pPr>
          </w:p>
        </w:tc>
        <w:tc>
          <w:tcPr>
            <w:tcW w:w="2453" w:type="dxa"/>
            <w:tcBorders>
              <w:top w:val="nil"/>
              <w:left w:val="nil"/>
              <w:bottom w:val="single" w:sz="4" w:space="0" w:color="auto"/>
              <w:right w:val="single" w:sz="4" w:space="0" w:color="auto"/>
            </w:tcBorders>
            <w:shd w:val="clear" w:color="auto" w:fill="auto"/>
            <w:hideMark/>
          </w:tcPr>
          <w:p w:rsidR="00DE482D" w:rsidRPr="00290737" w:rsidRDefault="00DE482D" w:rsidP="00127F05">
            <w:pPr>
              <w:rPr>
                <w:rFonts w:ascii="Calibri" w:hAnsi="Calibri"/>
                <w:color w:val="222222"/>
                <w:sz w:val="16"/>
                <w:szCs w:val="16"/>
              </w:rPr>
            </w:pPr>
            <w:r w:rsidRPr="00290737">
              <w:rPr>
                <w:rFonts w:ascii="Calibri" w:hAnsi="Calibri"/>
                <w:color w:val="222222"/>
                <w:sz w:val="16"/>
                <w:szCs w:val="16"/>
              </w:rPr>
              <w:t> </w:t>
            </w:r>
          </w:p>
        </w:tc>
      </w:tr>
      <w:tr w:rsidR="00DE482D" w:rsidRPr="00FA2779" w:rsidTr="00454E51">
        <w:trPr>
          <w:trHeight w:val="685"/>
        </w:trPr>
        <w:tc>
          <w:tcPr>
            <w:tcW w:w="1634" w:type="dxa"/>
            <w:vMerge/>
            <w:tcBorders>
              <w:top w:val="nil"/>
              <w:left w:val="single" w:sz="4" w:space="0" w:color="auto"/>
              <w:bottom w:val="nil"/>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nil"/>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scambi interaziendali di breve durata nel settore agricolo e forestale, nonché a visite di aziende agricole e forestali</w:t>
            </w:r>
          </w:p>
        </w:tc>
        <w:tc>
          <w:tcPr>
            <w:tcW w:w="1118" w:type="dxa"/>
            <w:tcBorders>
              <w:top w:val="nil"/>
              <w:left w:val="nil"/>
              <w:bottom w:val="nil"/>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r>
      <w:tr w:rsidR="00DE482D" w:rsidRPr="00FA2779" w:rsidTr="00454E51">
        <w:trPr>
          <w:trHeight w:val="656"/>
        </w:trPr>
        <w:tc>
          <w:tcPr>
            <w:tcW w:w="16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Articolo 15</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Servizi di consulenza, di sostituzione e di assistenza alla gestione delle aziende agricole</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2</w:t>
            </w: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allo scopo di aiutare gli aventi diritto ad avvalersi di servizi</w:t>
            </w:r>
            <w:r w:rsidRPr="00FA2779">
              <w:rPr>
                <w:rFonts w:ascii="Calibri" w:hAnsi="Calibri"/>
                <w:color w:val="222222"/>
                <w:sz w:val="16"/>
                <w:szCs w:val="16"/>
              </w:rPr>
              <w:br/>
              <w:t xml:space="preserve"> di consulenza</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r>
      <w:tr w:rsidR="00DE482D" w:rsidRPr="00FA2779" w:rsidTr="00454E51">
        <w:trPr>
          <w:trHeight w:val="298"/>
        </w:trPr>
        <w:tc>
          <w:tcPr>
            <w:tcW w:w="1634" w:type="dxa"/>
            <w:vMerge/>
            <w:tcBorders>
              <w:top w:val="single" w:sz="4" w:space="0" w:color="auto"/>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l’avviamento di servizi di consulenza aziendale, di sostituzione e di assistenza alla gestione delle aziende agricole, nonché di servizi di consulenza forestale</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w:t>
            </w:r>
          </w:p>
        </w:tc>
      </w:tr>
      <w:tr w:rsidR="00DE482D" w:rsidRPr="00FA2779" w:rsidTr="00454E51">
        <w:trPr>
          <w:trHeight w:val="641"/>
        </w:trPr>
        <w:tc>
          <w:tcPr>
            <w:tcW w:w="1634" w:type="dxa"/>
            <w:vMerge/>
            <w:tcBorders>
              <w:top w:val="single" w:sz="4" w:space="0" w:color="auto"/>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vMerge/>
            <w:tcBorders>
              <w:top w:val="single" w:sz="4" w:space="0" w:color="auto"/>
              <w:left w:val="single" w:sz="4" w:space="0" w:color="auto"/>
              <w:bottom w:val="single" w:sz="4" w:space="0" w:color="000000"/>
              <w:right w:val="single" w:sz="4" w:space="0" w:color="000000"/>
            </w:tcBorders>
            <w:vAlign w:val="center"/>
            <w:hideMark/>
          </w:tcPr>
          <w:p w:rsidR="00DE482D" w:rsidRPr="00FA2779" w:rsidRDefault="00DE482D" w:rsidP="00127F05">
            <w:pPr>
              <w:rPr>
                <w:rFonts w:ascii="Calibri" w:hAnsi="Calibri"/>
                <w:color w:val="222222"/>
                <w:sz w:val="16"/>
                <w:szCs w:val="16"/>
              </w:rPr>
            </w:pPr>
          </w:p>
        </w:tc>
        <w:tc>
          <w:tcPr>
            <w:tcW w:w="111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453"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r>
      <w:tr w:rsidR="00DE482D" w:rsidRPr="00FA2779" w:rsidTr="00454E51">
        <w:trPr>
          <w:trHeight w:val="298"/>
        </w:trPr>
        <w:tc>
          <w:tcPr>
            <w:tcW w:w="1634" w:type="dxa"/>
            <w:vMerge/>
            <w:tcBorders>
              <w:top w:val="single" w:sz="4" w:space="0" w:color="auto"/>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alla formazione dei consulenti</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r>
      <w:tr w:rsidR="00DE482D" w:rsidRPr="00FA2779" w:rsidTr="00454E51">
        <w:trPr>
          <w:trHeight w:val="596"/>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16 </w:t>
            </w:r>
          </w:p>
        </w:tc>
        <w:tc>
          <w:tcPr>
            <w:tcW w:w="1908" w:type="dxa"/>
            <w:tcBorders>
              <w:top w:val="nil"/>
              <w:left w:val="nil"/>
              <w:bottom w:val="nil"/>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Regimi di qualità dei prodotti agricoli e alimentari</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3</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alla nuova adesione a regimi di qualità</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298"/>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tcBorders>
              <w:top w:val="nil"/>
              <w:left w:val="nil"/>
              <w:bottom w:val="nil"/>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sostegno per attività di informazione e promozione, svolte da associazioni di produttori nel mercato interno</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82D" w:rsidRPr="00FA2779" w:rsidRDefault="00A4506C" w:rsidP="00127F05">
            <w:pPr>
              <w:jc w:val="center"/>
              <w:rPr>
                <w:rFonts w:ascii="Calibri" w:hAnsi="Calibri"/>
                <w:color w:val="000000"/>
                <w:sz w:val="16"/>
                <w:szCs w:val="16"/>
              </w:rPr>
            </w:pPr>
            <w:r>
              <w:rPr>
                <w:rFonts w:ascii="Calibri" w:hAnsi="Calibri"/>
                <w:color w:val="000000"/>
                <w:sz w:val="16"/>
                <w:szCs w:val="16"/>
              </w:rPr>
              <w:t>P</w:t>
            </w:r>
            <w:r w:rsidR="00751E6D">
              <w:rPr>
                <w:rFonts w:ascii="Calibri" w:hAnsi="Calibri"/>
                <w:color w:val="000000"/>
                <w:sz w:val="16"/>
                <w:szCs w:val="16"/>
              </w:rPr>
              <w:t>arzialmente</w:t>
            </w:r>
          </w:p>
        </w:tc>
        <w:tc>
          <w:tcPr>
            <w:tcW w:w="245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298"/>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vMerge/>
            <w:tcBorders>
              <w:top w:val="single" w:sz="4" w:space="0" w:color="auto"/>
              <w:left w:val="single" w:sz="4" w:space="0" w:color="auto"/>
              <w:bottom w:val="single" w:sz="4" w:space="0" w:color="000000"/>
              <w:right w:val="single" w:sz="4" w:space="0" w:color="000000"/>
            </w:tcBorders>
            <w:vAlign w:val="center"/>
            <w:hideMark/>
          </w:tcPr>
          <w:p w:rsidR="00DE482D" w:rsidRPr="00FA2779" w:rsidRDefault="00DE482D" w:rsidP="00127F05">
            <w:pPr>
              <w:rPr>
                <w:rFonts w:ascii="Calibri" w:hAnsi="Calibri"/>
                <w:color w:val="000000"/>
                <w:sz w:val="16"/>
                <w:szCs w:val="16"/>
              </w:rPr>
            </w:pPr>
          </w:p>
        </w:tc>
        <w:tc>
          <w:tcPr>
            <w:tcW w:w="111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453"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r>
      <w:tr w:rsidR="00DE482D" w:rsidRPr="00FA2779" w:rsidTr="00454E51">
        <w:trPr>
          <w:trHeight w:val="298"/>
        </w:trPr>
        <w:tc>
          <w:tcPr>
            <w:tcW w:w="1634" w:type="dxa"/>
            <w:vMerge w:val="restart"/>
            <w:tcBorders>
              <w:top w:val="nil"/>
              <w:left w:val="single" w:sz="4" w:space="0" w:color="auto"/>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17 </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Investimenti in immobilizzazioni materiali</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4</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nelle aziende agricole</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26"/>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a favore della trasformazione/ commercializzazione e/o dello sviluppo dei prodotti agricoli</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298"/>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nell’infrastruttura necessaria allo sviluppo, all’ammodernamento e all’adeguamento dell’agricoltura e della silvicoltura</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vMerge w:val="restart"/>
            <w:tcBorders>
              <w:top w:val="nil"/>
              <w:left w:val="single" w:sz="4" w:space="0" w:color="auto"/>
              <w:bottom w:val="nil"/>
              <w:right w:val="single" w:sz="4" w:space="0" w:color="auto"/>
            </w:tcBorders>
            <w:shd w:val="clear" w:color="auto" w:fill="auto"/>
            <w:noWrap/>
            <w:vAlign w:val="bottom"/>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596"/>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vMerge/>
            <w:tcBorders>
              <w:top w:val="single" w:sz="4" w:space="0" w:color="auto"/>
              <w:left w:val="single" w:sz="4" w:space="0" w:color="auto"/>
              <w:bottom w:val="single" w:sz="4" w:space="0" w:color="000000"/>
              <w:right w:val="single" w:sz="4" w:space="0" w:color="000000"/>
            </w:tcBorders>
            <w:vAlign w:val="center"/>
            <w:hideMark/>
          </w:tcPr>
          <w:p w:rsidR="00DE482D" w:rsidRPr="00FA2779" w:rsidRDefault="00DE482D" w:rsidP="00127F05">
            <w:pPr>
              <w:rPr>
                <w:rFonts w:ascii="Calibri" w:hAnsi="Calibri"/>
                <w:color w:val="222222"/>
                <w:sz w:val="16"/>
                <w:szCs w:val="16"/>
              </w:rPr>
            </w:pPr>
          </w:p>
        </w:tc>
        <w:tc>
          <w:tcPr>
            <w:tcW w:w="111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453" w:type="dxa"/>
            <w:vMerge/>
            <w:tcBorders>
              <w:top w:val="nil"/>
              <w:left w:val="single" w:sz="4" w:space="0" w:color="auto"/>
              <w:bottom w:val="nil"/>
              <w:right w:val="single" w:sz="4" w:space="0" w:color="auto"/>
            </w:tcBorders>
            <w:vAlign w:val="center"/>
            <w:hideMark/>
          </w:tcPr>
          <w:p w:rsidR="00DE482D" w:rsidRPr="00FA2779" w:rsidRDefault="00DE482D" w:rsidP="00127F05">
            <w:pPr>
              <w:rPr>
                <w:rFonts w:ascii="Calibri" w:hAnsi="Calibri"/>
                <w:color w:val="000000"/>
                <w:sz w:val="16"/>
                <w:szCs w:val="16"/>
              </w:rPr>
            </w:pPr>
          </w:p>
        </w:tc>
      </w:tr>
      <w:tr w:rsidR="00DE482D" w:rsidRPr="00FA2779" w:rsidTr="00454E51">
        <w:trPr>
          <w:trHeight w:val="671"/>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non produttivi connessi all’adempimento degli obiettivi agro-climatico-ambientali</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single" w:sz="4" w:space="0" w:color="auto"/>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1013"/>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lastRenderedPageBreak/>
              <w:t xml:space="preserve">Articolo 18 </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Ripristino del potenziale produttivo agricolo danneggiato da calamità naturali e da eventi catastrofici e introduzione di adeguate misure di prevenzione</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5</w:t>
            </w: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in azioni di prevenzione volte a ridurre le conseguenze di probabili calamità naturali, avversità atmosferiche ed eventi catastrofici</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894"/>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per il ripristino dei terreni agricoli e del potenziale produttivo danneggiati da calamità naturali, avversità atmosferiche ed eventi catastrofici</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26"/>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19 </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Sviluppo delle aziende agricole e delle imprese</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6</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aiuti all’avviamento di attività imprenditoriali per i giovani agricoltori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000000" w:fill="FFFFFF"/>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26"/>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aiuti all’avviamento di attività imprenditoriali per attività extra-agricole</w:t>
            </w:r>
            <w:r w:rsidRPr="00FA2779">
              <w:rPr>
                <w:rFonts w:ascii="Calibri" w:hAnsi="Calibri"/>
                <w:color w:val="222222"/>
                <w:sz w:val="16"/>
                <w:szCs w:val="16"/>
              </w:rPr>
              <w:br/>
              <w:t xml:space="preserve"> nelle zone rurali</w:t>
            </w:r>
          </w:p>
        </w:tc>
        <w:tc>
          <w:tcPr>
            <w:tcW w:w="1118" w:type="dxa"/>
            <w:tcBorders>
              <w:top w:val="nil"/>
              <w:left w:val="nil"/>
              <w:bottom w:val="single" w:sz="4" w:space="0" w:color="auto"/>
              <w:right w:val="single" w:sz="4" w:space="0" w:color="auto"/>
            </w:tcBorders>
            <w:shd w:val="clear" w:color="auto" w:fill="auto"/>
            <w:noWrap/>
            <w:hideMark/>
          </w:tcPr>
          <w:p w:rsidR="00DE482D" w:rsidRPr="00492AE5" w:rsidRDefault="00492AE5" w:rsidP="00127F05">
            <w:pPr>
              <w:jc w:val="center"/>
              <w:rPr>
                <w:rFonts w:ascii="Calibri" w:hAnsi="Calibri"/>
                <w:color w:val="000000"/>
                <w:sz w:val="16"/>
                <w:szCs w:val="16"/>
              </w:rPr>
            </w:pPr>
            <w:r w:rsidRPr="00492AE5">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71"/>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aiuti all’avviamento di attività imprenditoriali per lo sviluppo delle piccole</w:t>
            </w:r>
            <w:r w:rsidRPr="00FA2779">
              <w:rPr>
                <w:rFonts w:ascii="Calibri" w:hAnsi="Calibri"/>
                <w:color w:val="222222"/>
                <w:sz w:val="16"/>
                <w:szCs w:val="16"/>
              </w:rPr>
              <w:br/>
              <w:t xml:space="preserve"> aziende agricole</w:t>
            </w:r>
          </w:p>
        </w:tc>
        <w:tc>
          <w:tcPr>
            <w:tcW w:w="1118" w:type="dxa"/>
            <w:tcBorders>
              <w:top w:val="nil"/>
              <w:left w:val="nil"/>
              <w:bottom w:val="single" w:sz="4" w:space="0" w:color="auto"/>
              <w:right w:val="single" w:sz="4" w:space="0" w:color="auto"/>
            </w:tcBorders>
            <w:shd w:val="clear" w:color="auto" w:fill="auto"/>
            <w:noWrap/>
            <w:hideMark/>
          </w:tcPr>
          <w:p w:rsidR="00DE482D" w:rsidRPr="00492AE5" w:rsidRDefault="00492AE5" w:rsidP="00127F05">
            <w:pPr>
              <w:jc w:val="center"/>
              <w:rPr>
                <w:rFonts w:ascii="Calibri" w:hAnsi="Calibri"/>
                <w:color w:val="000000"/>
                <w:sz w:val="16"/>
                <w:szCs w:val="16"/>
              </w:rPr>
            </w:pPr>
            <w:r w:rsidRPr="00492AE5">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71"/>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nella creazione e nello sviluppo di attività extra-agricole</w:t>
            </w:r>
          </w:p>
        </w:tc>
        <w:tc>
          <w:tcPr>
            <w:tcW w:w="1118" w:type="dxa"/>
            <w:tcBorders>
              <w:top w:val="nil"/>
              <w:left w:val="nil"/>
              <w:bottom w:val="single" w:sz="4" w:space="0" w:color="auto"/>
              <w:right w:val="single" w:sz="4" w:space="0" w:color="auto"/>
            </w:tcBorders>
            <w:shd w:val="clear" w:color="auto" w:fill="auto"/>
            <w:noWrap/>
            <w:vAlign w:val="center"/>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56"/>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pagamenti agli agricoltori ammissibili al regime per i piccoli agricoltori che cedono permanentemente la propria azienda ad un altro agricoltore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1267"/>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20 </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Servizi di base e rinnovamento dei villaggi nelle zone rurali</w:t>
            </w:r>
          </w:p>
        </w:tc>
        <w:tc>
          <w:tcPr>
            <w:tcW w:w="680" w:type="dxa"/>
            <w:vMerge w:val="restart"/>
            <w:tcBorders>
              <w:top w:val="nil"/>
              <w:left w:val="single" w:sz="4" w:space="0" w:color="auto"/>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7</w:t>
            </w: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la stesura e l’aggiornamento di piani di sviluppo dei comuni e dei villaggi situati nelle zone rurali e dei servizi comunali di base, nonché di piani di tutela e di gestione dei siti Natura 2000 e di altre zone ad alto valore naturalistico</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1A7DAB" w:rsidP="00127F05">
            <w:pPr>
              <w:jc w:val="center"/>
              <w:rPr>
                <w:rFonts w:ascii="Calibri" w:hAnsi="Calibri"/>
                <w:color w:val="000000"/>
                <w:sz w:val="16"/>
                <w:szCs w:val="16"/>
              </w:rPr>
            </w:pPr>
            <w:r>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939"/>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finalizzati alla creazione, al miglioramento o all’espansione di ogni tipo di infrastrutture su piccola scala, compresi gli investimenti nelle energie rinnovabili e nel risparmio energetico</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983"/>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l’installazione, il miglioramento e l’espansione di infrastrutture a banda larga e di infrastrutture passive per la banda larga, nonché la fornitura di accesso alla banda larga e ai servizi di pubblica amministrazione online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983"/>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finalizzati all’introduzione, al miglioramento o all’espansione di servizi di base a livello locale per la popolazione rurale, comprese le attività culturali e ricreative, e della relativa infrastruttura</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85"/>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di fruizione pubblica in infrastrutture ricreative, informazioni turistiche e infrastrutture turistiche su piccola scala</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1565"/>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studi/investimenti relativi alla manutenzione, al restauro e alla riqualificazione del patrimonio culturale e naturale dei villaggi, del paesaggio rurale e dei siti ad alto valore naturalistico, compresi gli aspetti socioeconomici di tali attività, nonché azioni di sensibilizzazione in materia di ambiente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830999" w:rsidP="00127F05">
            <w:pPr>
              <w:jc w:val="center"/>
              <w:rPr>
                <w:rFonts w:ascii="Calibri" w:hAnsi="Calibri"/>
                <w:color w:val="000000"/>
                <w:sz w:val="16"/>
                <w:szCs w:val="16"/>
              </w:rPr>
            </w:pPr>
            <w:r>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1237"/>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investimenti finalizzati alla rilocalizzazione di attività e alla riconversione di fabbricati o altri impianti situati all’interno o nelle vicinanze di centri rurali, al fine di migliorare la qualità della vita o i parametri ambientali del territorio interessato</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358"/>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nil"/>
              <w:bottom w:val="single" w:sz="4" w:space="0" w:color="auto"/>
              <w:right w:val="single" w:sz="4" w:space="0" w:color="auto"/>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altri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581"/>
        </w:trPr>
        <w:tc>
          <w:tcPr>
            <w:tcW w:w="1634" w:type="dxa"/>
            <w:vMerge w:val="restart"/>
            <w:tcBorders>
              <w:top w:val="nil"/>
              <w:left w:val="single" w:sz="4" w:space="0" w:color="auto"/>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21 </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Investimenti nello sviluppo delle aree forestali e nel miglioramento della redditività delle foreste</w:t>
            </w:r>
          </w:p>
        </w:tc>
        <w:tc>
          <w:tcPr>
            <w:tcW w:w="680" w:type="dxa"/>
            <w:vMerge w:val="restart"/>
            <w:tcBorders>
              <w:top w:val="nil"/>
              <w:left w:val="single" w:sz="4" w:space="0" w:color="auto"/>
              <w:bottom w:val="single" w:sz="4" w:space="0" w:color="000000"/>
              <w:right w:val="nil"/>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8</w:t>
            </w: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alla forestazione/all’imboschimento</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r w:rsidR="00CF7B53">
              <w:rPr>
                <w:rFonts w:ascii="Calibri" w:hAnsi="Calibri"/>
                <w:color w:val="222222"/>
                <w:sz w:val="16"/>
                <w:szCs w:val="16"/>
              </w:rPr>
              <w:t>La certificazione forestale non è considerata investimento</w:t>
            </w:r>
          </w:p>
        </w:tc>
      </w:tr>
      <w:tr w:rsidR="00DE482D" w:rsidRPr="00FA2779" w:rsidTr="00454E51">
        <w:trPr>
          <w:trHeight w:val="358"/>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nil"/>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l’impianto e il mantenimento di sistemi agroforestali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r w:rsidR="00CF7B53">
              <w:rPr>
                <w:rFonts w:ascii="Calibri" w:hAnsi="Calibri"/>
                <w:color w:val="222222"/>
                <w:sz w:val="16"/>
                <w:szCs w:val="16"/>
              </w:rPr>
              <w:t>La certificazione forestale non è considerata investimento</w:t>
            </w:r>
          </w:p>
        </w:tc>
      </w:tr>
      <w:tr w:rsidR="00DE482D" w:rsidRPr="00FA2779" w:rsidTr="00454E51">
        <w:trPr>
          <w:trHeight w:val="626"/>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nil"/>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alla prevenzione dei danni arrecati alle foreste da incendi, calamità naturali ed eventi catastrofici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CF7B53" w:rsidRDefault="00DE482D" w:rsidP="00127F05">
            <w:pPr>
              <w:rPr>
                <w:rFonts w:ascii="Calibri" w:hAnsi="Calibri"/>
                <w:color w:val="222222"/>
                <w:sz w:val="16"/>
                <w:szCs w:val="16"/>
              </w:rPr>
            </w:pPr>
            <w:r w:rsidRPr="00CF7B53">
              <w:rPr>
                <w:rFonts w:ascii="Calibri" w:hAnsi="Calibri"/>
                <w:color w:val="222222"/>
                <w:sz w:val="16"/>
                <w:szCs w:val="16"/>
              </w:rPr>
              <w:t> </w:t>
            </w:r>
            <w:r w:rsidR="00CF7B53">
              <w:rPr>
                <w:rFonts w:ascii="Calibri" w:hAnsi="Calibri"/>
                <w:color w:val="222222"/>
                <w:sz w:val="16"/>
                <w:szCs w:val="16"/>
              </w:rPr>
              <w:t>La certificazione forestale non è considerata investimento</w:t>
            </w:r>
          </w:p>
        </w:tc>
      </w:tr>
      <w:tr w:rsidR="00DE482D" w:rsidRPr="00FA2779" w:rsidTr="00454E51">
        <w:trPr>
          <w:trHeight w:val="641"/>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nil"/>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 ripristino delle foreste danneggiate da incendi, calamità naturali ed eventi catastrofici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r w:rsidR="00CF7B53">
              <w:rPr>
                <w:rFonts w:ascii="Calibri" w:hAnsi="Calibri"/>
                <w:color w:val="222222"/>
                <w:sz w:val="16"/>
                <w:szCs w:val="16"/>
              </w:rPr>
              <w:t>La certificazione forestale non è considerata investimento</w:t>
            </w:r>
          </w:p>
        </w:tc>
      </w:tr>
      <w:tr w:rsidR="00DE482D" w:rsidRPr="00FA2779" w:rsidTr="00454E51">
        <w:trPr>
          <w:trHeight w:val="700"/>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nil"/>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aiuti agli investimenti destinati ad accrescere la resilienza e il pregio ambientale degli ecosistemi forestali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r w:rsidR="00CF7B53">
              <w:rPr>
                <w:rFonts w:ascii="Calibri" w:hAnsi="Calibri"/>
                <w:color w:val="222222"/>
                <w:sz w:val="16"/>
                <w:szCs w:val="16"/>
              </w:rPr>
              <w:t>La certificazione forestale non è considerata investimento</w:t>
            </w:r>
          </w:p>
        </w:tc>
      </w:tr>
      <w:tr w:rsidR="00DE482D" w:rsidRPr="00FA2779" w:rsidTr="00454E51">
        <w:trPr>
          <w:trHeight w:val="641"/>
        </w:trPr>
        <w:tc>
          <w:tcPr>
            <w:tcW w:w="1634"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nil"/>
            </w:tcBorders>
            <w:vAlign w:val="center"/>
            <w:hideMark/>
          </w:tcPr>
          <w:p w:rsidR="00DE482D" w:rsidRPr="00FA2779" w:rsidRDefault="00DE482D" w:rsidP="00127F05">
            <w:pPr>
              <w:rPr>
                <w:rFonts w:ascii="Calibri" w:hAnsi="Calibri"/>
                <w:color w:val="222222"/>
                <w:sz w:val="16"/>
                <w:szCs w:val="16"/>
              </w:rPr>
            </w:pP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agli investimenti in tecnologie silvicole e nella trasformazione, mobilitazione e commercializzazione dei prodotti delle foreste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Si</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CF7B53" w:rsidP="00127F05">
            <w:pPr>
              <w:rPr>
                <w:rFonts w:ascii="Calibri" w:hAnsi="Calibri"/>
                <w:color w:val="000000"/>
                <w:sz w:val="16"/>
                <w:szCs w:val="16"/>
              </w:rPr>
            </w:pPr>
            <w:r>
              <w:rPr>
                <w:rFonts w:ascii="Calibri" w:hAnsi="Calibri"/>
                <w:color w:val="222222"/>
                <w:sz w:val="16"/>
                <w:szCs w:val="16"/>
              </w:rPr>
              <w:t>La certificazione forestale non è considerata investimento</w:t>
            </w:r>
          </w:p>
        </w:tc>
      </w:tr>
      <w:tr w:rsidR="00DE482D" w:rsidRPr="00FA2779" w:rsidTr="00454E51">
        <w:trPr>
          <w:trHeight w:val="864"/>
        </w:trPr>
        <w:tc>
          <w:tcPr>
            <w:tcW w:w="1634" w:type="dxa"/>
            <w:tcBorders>
              <w:top w:val="nil"/>
              <w:left w:val="single" w:sz="4" w:space="0" w:color="auto"/>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Articolo 27</w:t>
            </w:r>
          </w:p>
        </w:tc>
        <w:tc>
          <w:tcPr>
            <w:tcW w:w="1908"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Costituzione di associazioni e organizzazioni di produttori</w:t>
            </w:r>
          </w:p>
        </w:tc>
        <w:tc>
          <w:tcPr>
            <w:tcW w:w="680"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9</w:t>
            </w: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costituzione di associazioni e organizzazioni di produttori nei settori agricolo e forestale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373"/>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28 </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xml:space="preserve">Pagamenti </w:t>
            </w:r>
            <w:r w:rsidRPr="00FA2779">
              <w:rPr>
                <w:rFonts w:ascii="Calibri" w:hAnsi="Calibri"/>
                <w:color w:val="222222"/>
                <w:sz w:val="16"/>
                <w:szCs w:val="16"/>
              </w:rPr>
              <w:br/>
              <w:t>agro-climatico-ambientali</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10</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per impegni agro-climatico-ambientali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F55E68" w:rsidP="00127F05">
            <w:pPr>
              <w:jc w:val="center"/>
              <w:rPr>
                <w:rFonts w:ascii="Calibri" w:hAnsi="Calibri"/>
                <w:color w:val="000000"/>
                <w:sz w:val="16"/>
                <w:szCs w:val="16"/>
              </w:rPr>
            </w:pPr>
            <w:r>
              <w:rPr>
                <w:rFonts w:ascii="Calibri" w:hAnsi="Calibri"/>
                <w:color w:val="000000"/>
                <w:sz w:val="16"/>
                <w:szCs w:val="16"/>
              </w:rPr>
              <w:t>N</w:t>
            </w:r>
            <w:r w:rsidR="00492AE5">
              <w:rPr>
                <w:rFonts w:ascii="Calibri" w:hAnsi="Calibri"/>
                <w:color w:val="000000"/>
                <w:sz w:val="16"/>
                <w:szCs w:val="16"/>
              </w:rPr>
              <w:t>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56"/>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la conservazione, l’uso e lo sviluppo sostenibili delle risorse genetiche in agricoltura</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F55E68" w:rsidP="00127F05">
            <w:pPr>
              <w:jc w:val="center"/>
              <w:rPr>
                <w:rFonts w:ascii="Calibri" w:hAnsi="Calibri"/>
                <w:color w:val="000000"/>
                <w:sz w:val="16"/>
                <w:szCs w:val="16"/>
              </w:rPr>
            </w:pPr>
            <w:r>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536"/>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29 </w:t>
            </w:r>
          </w:p>
        </w:tc>
        <w:tc>
          <w:tcPr>
            <w:tcW w:w="1908"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Agricoltura biologica</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11</w:t>
            </w: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al fine di adottare pratiche e metodi di produzione biologica</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F55E68" w:rsidP="00127F05">
            <w:pPr>
              <w:jc w:val="center"/>
              <w:rPr>
                <w:rFonts w:ascii="Calibri" w:hAnsi="Calibri"/>
                <w:color w:val="000000"/>
                <w:sz w:val="16"/>
                <w:szCs w:val="16"/>
              </w:rPr>
            </w:pPr>
            <w:r>
              <w:rPr>
                <w:rFonts w:ascii="Calibri" w:hAnsi="Calibri"/>
                <w:color w:val="000000"/>
                <w:sz w:val="16"/>
                <w:szCs w:val="16"/>
              </w:rPr>
              <w:t>N</w:t>
            </w:r>
            <w:r w:rsidR="00492AE5">
              <w:rPr>
                <w:rFonts w:ascii="Calibri" w:hAnsi="Calibri"/>
                <w:color w:val="000000"/>
                <w:sz w:val="16"/>
                <w:szCs w:val="16"/>
              </w:rPr>
              <w:t>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536"/>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al fine di mantenere pratiche e metodi di produzione biologica</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F55E68" w:rsidP="00127F05">
            <w:pPr>
              <w:jc w:val="center"/>
              <w:rPr>
                <w:rFonts w:ascii="Calibri" w:hAnsi="Calibri"/>
                <w:color w:val="000000"/>
                <w:sz w:val="16"/>
                <w:szCs w:val="16"/>
              </w:rPr>
            </w:pPr>
            <w:r>
              <w:rPr>
                <w:rFonts w:ascii="Calibri" w:hAnsi="Calibri"/>
                <w:color w:val="000000"/>
                <w:sz w:val="16"/>
                <w:szCs w:val="16"/>
              </w:rPr>
              <w:t>N</w:t>
            </w:r>
            <w:r w:rsidR="00492AE5">
              <w:rPr>
                <w:rFonts w:ascii="Calibri" w:hAnsi="Calibri"/>
                <w:color w:val="000000"/>
                <w:sz w:val="16"/>
                <w:szCs w:val="16"/>
              </w:rPr>
              <w:t>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56"/>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Articolo 30</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Indennità Natura 2000 e indennità connesse alla direttiva quadro sull'acqua</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12</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compensativo per le zone agricole Natura 2000</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402"/>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compensativo per le zone forestali Natura 2000</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41"/>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compensativo per le zone agricole incluse nei piani di gestione dei bacini idrografici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71"/>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Articolo 31</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Indennità a favore delle zone soggette a vincoli naturali o ad altri vincoli specifici</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13</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compensativo per le zone montane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26"/>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compensativo per altre zone soggette a vincoli naturali significativi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313"/>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compensativo per altre zone soggette a vincoli specifici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373"/>
        </w:trPr>
        <w:tc>
          <w:tcPr>
            <w:tcW w:w="1634" w:type="dxa"/>
            <w:tcBorders>
              <w:top w:val="nil"/>
              <w:left w:val="single" w:sz="4" w:space="0" w:color="auto"/>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Articolo 33</w:t>
            </w:r>
          </w:p>
        </w:tc>
        <w:tc>
          <w:tcPr>
            <w:tcW w:w="190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Benessere degli animali</w:t>
            </w:r>
          </w:p>
        </w:tc>
        <w:tc>
          <w:tcPr>
            <w:tcW w:w="680"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14</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per il benessere degli animali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626"/>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Articolo 34</w:t>
            </w: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Servizi silvo-ambientali e climatici salvaguardia delle foreste</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15</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pagamento per impegni silvo-ambientali e impegni in materia di clima</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596"/>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la salvaguardia e la valorizzazione delle risorse genetiche forestali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745"/>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35 </w:t>
            </w:r>
          </w:p>
        </w:tc>
        <w:tc>
          <w:tcPr>
            <w:tcW w:w="1908"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Cooperazione</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16</w:t>
            </w: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la costituzione e il funzionamento dei gruppi operativi del PEI in materia di produttività e sostenibilità dell’agricoltura</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1A7DAB" w:rsidP="00127F05">
            <w:pPr>
              <w:jc w:val="center"/>
              <w:rPr>
                <w:rFonts w:ascii="Calibri" w:hAnsi="Calibri"/>
                <w:color w:val="000000"/>
                <w:sz w:val="16"/>
                <w:szCs w:val="16"/>
              </w:rPr>
            </w:pPr>
            <w:r>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760"/>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 progetti pilota e allo sviluppo di nuovi prodotti, pratiche, processi e tecnologie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A4506C" w:rsidP="00127F05">
            <w:pPr>
              <w:jc w:val="center"/>
              <w:rPr>
                <w:rFonts w:ascii="Calibri" w:hAnsi="Calibri"/>
                <w:color w:val="000000"/>
                <w:sz w:val="16"/>
                <w:szCs w:val="16"/>
              </w:rPr>
            </w:pPr>
            <w:r>
              <w:rPr>
                <w:rFonts w:ascii="Calibri" w:hAnsi="Calibri"/>
                <w:color w:val="000000"/>
                <w:sz w:val="16"/>
                <w:szCs w:val="16"/>
              </w:rPr>
              <w:t>P</w:t>
            </w:r>
            <w:r w:rsidR="00751E6D">
              <w:rPr>
                <w:rFonts w:ascii="Calibri" w:hAnsi="Calibri"/>
                <w:color w:val="000000"/>
                <w:sz w:val="16"/>
                <w:szCs w:val="16"/>
              </w:rPr>
              <w:t>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983"/>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cooperazione tra piccoli operatori per organizzare processi di lavoro in comune e condividere impianti e risorse, nonché per lo sviluppo e la commercializzazione dei servizi turistici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1222"/>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alla cooperazione di filiera, sia orizzontale che verticale, per la creazione e lo sviluppo di filiere corte e mercati locali e sostegno ad attività promozionali a raggio locale connesse allo sviluppo delle filiere corte e dei mercati locali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894"/>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azioni congiunte per la mitigazione del cambiamento climatico e l’adattamento ad esso e sostegno per approcci comuni ai progetti e alle pratiche ambientali in corso</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CD4CD8" w:rsidP="00127F05">
            <w:pPr>
              <w:jc w:val="center"/>
              <w:rPr>
                <w:rFonts w:ascii="Calibri" w:hAnsi="Calibri"/>
                <w:color w:val="000000"/>
                <w:sz w:val="16"/>
                <w:szCs w:val="16"/>
              </w:rPr>
            </w:pPr>
            <w:r>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1028"/>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alla cooperazione di filiera per l’approvvigionamento sostenibile di biomasse da utilizzare nella produzione di alimenti e di energia e nei processi industriali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343"/>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per strategie di sviluppo locale di tipo non partecipativo</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 </w:t>
            </w:r>
            <w:r w:rsidR="00492AE5">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p>
        </w:tc>
      </w:tr>
      <w:tr w:rsidR="00DE482D" w:rsidRPr="00FA2779" w:rsidTr="00454E51">
        <w:trPr>
          <w:trHeight w:val="671"/>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sostegno alla stesura di piani di gestione forestale o di strumenti equivalenti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A4506C" w:rsidP="00127F05">
            <w:pPr>
              <w:jc w:val="center"/>
              <w:rPr>
                <w:rFonts w:ascii="Calibri" w:hAnsi="Calibri"/>
                <w:color w:val="000000"/>
                <w:sz w:val="16"/>
                <w:szCs w:val="16"/>
              </w:rPr>
            </w:pPr>
            <w:r>
              <w:rPr>
                <w:rFonts w:ascii="Calibri" w:hAnsi="Calibri"/>
                <w:color w:val="000000"/>
                <w:sz w:val="16"/>
                <w:szCs w:val="16"/>
              </w:rPr>
              <w:t>P</w:t>
            </w:r>
            <w:r w:rsidR="00751E6D">
              <w:rPr>
                <w:rFonts w:ascii="Calibri" w:hAnsi="Calibri"/>
                <w:color w:val="000000"/>
                <w:sz w:val="16"/>
                <w:szCs w:val="16"/>
              </w:rPr>
              <w:t>arzialmente</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r w:rsidRPr="00FA2779">
              <w:rPr>
                <w:rFonts w:ascii="Calibri" w:hAnsi="Calibri"/>
                <w:color w:val="000000"/>
                <w:sz w:val="16"/>
                <w:szCs w:val="16"/>
              </w:rPr>
              <w:t> </w:t>
            </w:r>
          </w:p>
        </w:tc>
      </w:tr>
      <w:tr w:rsidR="00DE482D" w:rsidRPr="00FA2779" w:rsidTr="00454E51">
        <w:trPr>
          <w:trHeight w:val="924"/>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xml:space="preserve">sostegno per la diversificazione delle attività agricole in attività riguardanti l’assistenza sanitaria, l’integrazione sociale, </w:t>
            </w:r>
            <w:r w:rsidRPr="00FA2779">
              <w:rPr>
                <w:rFonts w:ascii="Calibri" w:hAnsi="Calibri"/>
                <w:color w:val="222222"/>
                <w:sz w:val="16"/>
                <w:szCs w:val="16"/>
              </w:rPr>
              <w:lastRenderedPageBreak/>
              <w:t>l’agricoltura sostenuta dalla comunità e l’educazione ambientale e alimentare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A4506C" w:rsidP="00127F05">
            <w:pPr>
              <w:jc w:val="center"/>
              <w:rPr>
                <w:rFonts w:ascii="Calibri" w:hAnsi="Calibri"/>
                <w:color w:val="000000"/>
                <w:sz w:val="16"/>
                <w:szCs w:val="16"/>
              </w:rPr>
            </w:pPr>
            <w:r>
              <w:rPr>
                <w:rFonts w:ascii="Calibri" w:hAnsi="Calibri"/>
                <w:color w:val="000000"/>
                <w:sz w:val="16"/>
                <w:szCs w:val="16"/>
              </w:rPr>
              <w:lastRenderedPageBreak/>
              <w:t>P</w:t>
            </w:r>
            <w:r w:rsidR="00751E6D">
              <w:rPr>
                <w:rFonts w:ascii="Calibri" w:hAnsi="Calibri"/>
                <w:color w:val="000000"/>
                <w:sz w:val="16"/>
                <w:szCs w:val="16"/>
              </w:rPr>
              <w:t>arzialmente</w:t>
            </w:r>
            <w:r w:rsidR="00DE482D" w:rsidRPr="00FA2779">
              <w:rPr>
                <w:rFonts w:ascii="Calibri" w:hAnsi="Calibri"/>
                <w:color w:val="000000"/>
                <w:sz w:val="16"/>
                <w:szCs w:val="16"/>
              </w:rPr>
              <w:t> </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p>
        </w:tc>
      </w:tr>
      <w:tr w:rsidR="00DE482D" w:rsidRPr="00FA2779" w:rsidTr="00454E51">
        <w:trPr>
          <w:trHeight w:val="343"/>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auto"/>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altri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A4506C" w:rsidP="00127F05">
            <w:pPr>
              <w:jc w:val="center"/>
              <w:rPr>
                <w:rFonts w:ascii="Calibri" w:hAnsi="Calibri"/>
                <w:color w:val="000000"/>
                <w:sz w:val="16"/>
                <w:szCs w:val="16"/>
              </w:rPr>
            </w:pPr>
            <w:r>
              <w:rPr>
                <w:rFonts w:ascii="Calibri" w:hAnsi="Calibri"/>
                <w:color w:val="000000"/>
                <w:sz w:val="16"/>
                <w:szCs w:val="16"/>
              </w:rPr>
              <w:t>P</w:t>
            </w:r>
            <w:r w:rsidR="00751E6D">
              <w:rPr>
                <w:rFonts w:ascii="Calibri" w:hAnsi="Calibri"/>
                <w:color w:val="000000"/>
                <w:sz w:val="16"/>
                <w:szCs w:val="16"/>
              </w:rPr>
              <w:t>arzialmente</w:t>
            </w:r>
            <w:r w:rsidR="00DE482D" w:rsidRPr="00FA2779">
              <w:rPr>
                <w:rFonts w:ascii="Calibri" w:hAnsi="Calibri"/>
                <w:color w:val="000000"/>
                <w:sz w:val="16"/>
                <w:szCs w:val="16"/>
              </w:rPr>
              <w:t> </w:t>
            </w:r>
          </w:p>
        </w:tc>
        <w:tc>
          <w:tcPr>
            <w:tcW w:w="2453" w:type="dxa"/>
            <w:tcBorders>
              <w:top w:val="nil"/>
              <w:left w:val="nil"/>
              <w:bottom w:val="single" w:sz="4" w:space="0" w:color="auto"/>
              <w:right w:val="single" w:sz="4" w:space="0" w:color="auto"/>
            </w:tcBorders>
            <w:shd w:val="clear" w:color="auto" w:fill="auto"/>
            <w:noWrap/>
            <w:vAlign w:val="bottom"/>
            <w:hideMark/>
          </w:tcPr>
          <w:p w:rsidR="00DE482D" w:rsidRPr="00FA2779" w:rsidRDefault="00DE482D" w:rsidP="00127F05">
            <w:pPr>
              <w:rPr>
                <w:rFonts w:ascii="Calibri" w:hAnsi="Calibri"/>
                <w:color w:val="000000"/>
                <w:sz w:val="16"/>
                <w:szCs w:val="16"/>
              </w:rPr>
            </w:pPr>
          </w:p>
        </w:tc>
      </w:tr>
      <w:tr w:rsidR="00DE482D" w:rsidRPr="00FA2779" w:rsidTr="00454E51">
        <w:trPr>
          <w:trHeight w:val="417"/>
        </w:trPr>
        <w:tc>
          <w:tcPr>
            <w:tcW w:w="1634"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jc w:val="center"/>
              <w:rPr>
                <w:rFonts w:ascii="Calibri" w:hAnsi="Calibri"/>
                <w:color w:val="222222"/>
                <w:sz w:val="16"/>
                <w:szCs w:val="16"/>
              </w:rPr>
            </w:pPr>
            <w:r w:rsidRPr="00FA2779">
              <w:rPr>
                <w:rFonts w:ascii="Calibri" w:hAnsi="Calibri"/>
                <w:color w:val="222222"/>
                <w:sz w:val="16"/>
                <w:szCs w:val="16"/>
              </w:rPr>
              <w:t xml:space="preserve">Articolo 36 </w:t>
            </w:r>
          </w:p>
        </w:tc>
        <w:tc>
          <w:tcPr>
            <w:tcW w:w="1908" w:type="dxa"/>
            <w:vMerge w:val="restart"/>
            <w:tcBorders>
              <w:top w:val="nil"/>
              <w:left w:val="single" w:sz="4" w:space="0" w:color="auto"/>
              <w:bottom w:val="single" w:sz="4" w:space="0" w:color="000000"/>
              <w:right w:val="single" w:sz="4" w:space="0" w:color="auto"/>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Gestione del rischio</w:t>
            </w:r>
          </w:p>
        </w:tc>
        <w:tc>
          <w:tcPr>
            <w:tcW w:w="680" w:type="dxa"/>
            <w:vMerge w:val="restart"/>
            <w:tcBorders>
              <w:top w:val="nil"/>
              <w:left w:val="single" w:sz="4" w:space="0" w:color="auto"/>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17</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premio assicurativo per il raccolto, gli animali e le piante</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r>
      <w:tr w:rsidR="00DE482D" w:rsidRPr="00FA2779" w:rsidTr="00454E51">
        <w:trPr>
          <w:trHeight w:val="715"/>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fondi di mutualizzazione per le avversità atmosferiche, per le epizoozie e le fitopatie, per le infestazioni parassitarie e per le emergenze ambientali</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r>
      <w:tr w:rsidR="00DE482D" w:rsidRPr="00FA2779" w:rsidTr="00454E51">
        <w:trPr>
          <w:trHeight w:val="328"/>
        </w:trPr>
        <w:tc>
          <w:tcPr>
            <w:tcW w:w="1634"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DE482D" w:rsidRPr="00FA2779" w:rsidRDefault="00DE482D" w:rsidP="00127F05">
            <w:pPr>
              <w:rPr>
                <w:rFonts w:ascii="Calibri" w:hAnsi="Calibri"/>
                <w:color w:val="222222"/>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DE482D" w:rsidRPr="00FA2779" w:rsidRDefault="00DE482D"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strumento di stabilizzazione del reddito</w:t>
            </w:r>
          </w:p>
        </w:tc>
        <w:tc>
          <w:tcPr>
            <w:tcW w:w="1118" w:type="dxa"/>
            <w:tcBorders>
              <w:top w:val="nil"/>
              <w:left w:val="nil"/>
              <w:bottom w:val="single" w:sz="4" w:space="0" w:color="auto"/>
              <w:right w:val="single" w:sz="4" w:space="0" w:color="auto"/>
            </w:tcBorders>
            <w:shd w:val="clear" w:color="auto" w:fill="auto"/>
            <w:noWrap/>
            <w:hideMark/>
          </w:tcPr>
          <w:p w:rsidR="00DE482D" w:rsidRPr="00FA2779" w:rsidRDefault="00DE482D"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hideMark/>
          </w:tcPr>
          <w:p w:rsidR="00DE482D" w:rsidRPr="00FA2779" w:rsidRDefault="00DE482D" w:rsidP="00127F05">
            <w:pPr>
              <w:rPr>
                <w:rFonts w:ascii="Calibri" w:hAnsi="Calibri"/>
                <w:color w:val="222222"/>
                <w:sz w:val="16"/>
                <w:szCs w:val="16"/>
              </w:rPr>
            </w:pPr>
            <w:r w:rsidRPr="00FA2779">
              <w:rPr>
                <w:rFonts w:ascii="Calibri" w:hAnsi="Calibri"/>
                <w:color w:val="222222"/>
                <w:sz w:val="16"/>
                <w:szCs w:val="16"/>
              </w:rPr>
              <w:t> </w:t>
            </w:r>
          </w:p>
        </w:tc>
      </w:tr>
      <w:tr w:rsidR="00454E51" w:rsidRPr="00FA2779" w:rsidTr="00454E51">
        <w:trPr>
          <w:trHeight w:val="671"/>
        </w:trPr>
        <w:tc>
          <w:tcPr>
            <w:tcW w:w="1634" w:type="dxa"/>
            <w:vMerge w:val="restart"/>
            <w:tcBorders>
              <w:top w:val="nil"/>
              <w:left w:val="single" w:sz="4" w:space="0" w:color="auto"/>
              <w:bottom w:val="single" w:sz="4" w:space="0" w:color="auto"/>
              <w:right w:val="single" w:sz="4" w:space="0" w:color="auto"/>
            </w:tcBorders>
            <w:shd w:val="clear" w:color="auto" w:fill="auto"/>
            <w:noWrap/>
            <w:hideMark/>
          </w:tcPr>
          <w:p w:rsidR="00454E51" w:rsidRDefault="00454E51" w:rsidP="00127F05">
            <w:pPr>
              <w:jc w:val="center"/>
              <w:rPr>
                <w:rFonts w:ascii="Calibri" w:hAnsi="Calibri"/>
                <w:color w:val="222222"/>
                <w:sz w:val="16"/>
                <w:szCs w:val="16"/>
              </w:rPr>
            </w:pPr>
            <w:r w:rsidRPr="00FA2779">
              <w:rPr>
                <w:rFonts w:ascii="Calibri" w:hAnsi="Calibri"/>
                <w:color w:val="222222"/>
                <w:sz w:val="16"/>
                <w:szCs w:val="16"/>
              </w:rPr>
              <w:t xml:space="preserve">Articolo 35 </w:t>
            </w:r>
          </w:p>
          <w:p w:rsidR="00454E51" w:rsidRDefault="00454E51" w:rsidP="00454E51">
            <w:pPr>
              <w:jc w:val="center"/>
              <w:rPr>
                <w:rFonts w:ascii="Calibri" w:hAnsi="Calibri"/>
                <w:color w:val="222222"/>
                <w:sz w:val="16"/>
                <w:szCs w:val="16"/>
              </w:rPr>
            </w:pPr>
            <w:r>
              <w:rPr>
                <w:rFonts w:ascii="Calibri" w:hAnsi="Calibri"/>
                <w:color w:val="222222"/>
                <w:sz w:val="16"/>
                <w:szCs w:val="16"/>
              </w:rPr>
              <w:t>(Reg. UE 1303/2013)</w:t>
            </w:r>
          </w:p>
          <w:p w:rsidR="00454E51" w:rsidRPr="00FA2779" w:rsidRDefault="00454E51" w:rsidP="00127F05">
            <w:pPr>
              <w:jc w:val="center"/>
              <w:rPr>
                <w:rFonts w:ascii="Calibri" w:hAnsi="Calibri"/>
                <w:color w:val="222222"/>
                <w:sz w:val="16"/>
                <w:szCs w:val="16"/>
              </w:rPr>
            </w:pPr>
          </w:p>
        </w:tc>
        <w:tc>
          <w:tcPr>
            <w:tcW w:w="1908" w:type="dxa"/>
            <w:vMerge w:val="restart"/>
            <w:tcBorders>
              <w:top w:val="nil"/>
              <w:left w:val="single" w:sz="4" w:space="0" w:color="auto"/>
              <w:bottom w:val="single" w:sz="4" w:space="0" w:color="000000"/>
              <w:right w:val="single" w:sz="4" w:space="0" w:color="auto"/>
            </w:tcBorders>
            <w:shd w:val="clear" w:color="auto" w:fill="auto"/>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Sostegno allo sviluppo locale Leader (sviluppo locale di tipo partecipativo - SLTP)</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454E51" w:rsidRPr="00FA2779" w:rsidRDefault="00454E51" w:rsidP="00127F05">
            <w:pPr>
              <w:jc w:val="center"/>
              <w:rPr>
                <w:rFonts w:ascii="Calibri" w:hAnsi="Calibri"/>
                <w:color w:val="000000"/>
                <w:sz w:val="16"/>
                <w:szCs w:val="16"/>
              </w:rPr>
            </w:pPr>
            <w:r w:rsidRPr="00FA2779">
              <w:rPr>
                <w:rFonts w:ascii="Calibri" w:hAnsi="Calibri"/>
                <w:color w:val="000000"/>
                <w:sz w:val="16"/>
                <w:szCs w:val="16"/>
              </w:rPr>
              <w:t>19</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sostegno preparatorio</w:t>
            </w:r>
          </w:p>
        </w:tc>
        <w:tc>
          <w:tcPr>
            <w:tcW w:w="1118" w:type="dxa"/>
            <w:tcBorders>
              <w:top w:val="nil"/>
              <w:left w:val="nil"/>
              <w:bottom w:val="single" w:sz="4" w:space="0" w:color="auto"/>
              <w:right w:val="single" w:sz="4" w:space="0" w:color="auto"/>
            </w:tcBorders>
            <w:shd w:val="clear" w:color="auto" w:fill="auto"/>
            <w:noWrap/>
            <w:hideMark/>
          </w:tcPr>
          <w:p w:rsidR="00454E51" w:rsidRPr="00FA2779" w:rsidRDefault="00454E51"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454E51" w:rsidRPr="00FA2779" w:rsidRDefault="00454E51" w:rsidP="00127F05">
            <w:pPr>
              <w:rPr>
                <w:rFonts w:ascii="Calibri" w:hAnsi="Calibri"/>
                <w:color w:val="222222"/>
                <w:sz w:val="16"/>
                <w:szCs w:val="16"/>
              </w:rPr>
            </w:pPr>
          </w:p>
        </w:tc>
      </w:tr>
      <w:tr w:rsidR="00454E51" w:rsidRPr="00FA2779" w:rsidTr="00454E51">
        <w:trPr>
          <w:trHeight w:val="343"/>
        </w:trPr>
        <w:tc>
          <w:tcPr>
            <w:tcW w:w="1634" w:type="dxa"/>
            <w:vMerge/>
            <w:tcBorders>
              <w:top w:val="nil"/>
              <w:left w:val="single" w:sz="4" w:space="0" w:color="auto"/>
              <w:bottom w:val="single" w:sz="4" w:space="0" w:color="auto"/>
              <w:right w:val="single" w:sz="4" w:space="0" w:color="auto"/>
            </w:tcBorders>
            <w:vAlign w:val="center"/>
            <w:hideMark/>
          </w:tcPr>
          <w:p w:rsidR="00454E51" w:rsidRPr="00FA2779" w:rsidRDefault="00454E51"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454E51" w:rsidRPr="00FA2779" w:rsidRDefault="00454E51"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454E51" w:rsidRPr="00FA2779" w:rsidRDefault="00454E51" w:rsidP="00127F05">
            <w:pPr>
              <w:rPr>
                <w:rFonts w:ascii="Calibri" w:hAnsi="Calibri"/>
                <w:color w:val="000000"/>
                <w:sz w:val="16"/>
                <w:szCs w:val="16"/>
              </w:rPr>
            </w:pP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sostegno all’esecuzione degli interventi nell’ambito della strategia SLTP</w:t>
            </w:r>
          </w:p>
        </w:tc>
        <w:tc>
          <w:tcPr>
            <w:tcW w:w="1118" w:type="dxa"/>
            <w:tcBorders>
              <w:top w:val="nil"/>
              <w:left w:val="nil"/>
              <w:bottom w:val="single" w:sz="4" w:space="0" w:color="auto"/>
              <w:right w:val="single" w:sz="4" w:space="0" w:color="auto"/>
            </w:tcBorders>
            <w:shd w:val="clear" w:color="auto" w:fill="auto"/>
            <w:noWrap/>
            <w:hideMark/>
          </w:tcPr>
          <w:p w:rsidR="00454E51" w:rsidRPr="00FA2779" w:rsidRDefault="00492AE5" w:rsidP="00127F05">
            <w:pPr>
              <w:jc w:val="center"/>
              <w:rPr>
                <w:rFonts w:ascii="Calibri" w:hAnsi="Calibri"/>
                <w:color w:val="000000"/>
                <w:sz w:val="16"/>
                <w:szCs w:val="16"/>
              </w:rPr>
            </w:pPr>
            <w:r>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 </w:t>
            </w:r>
          </w:p>
        </w:tc>
      </w:tr>
      <w:tr w:rsidR="00454E51" w:rsidRPr="00FA2779" w:rsidTr="00454E51">
        <w:trPr>
          <w:trHeight w:val="671"/>
        </w:trPr>
        <w:tc>
          <w:tcPr>
            <w:tcW w:w="1634" w:type="dxa"/>
            <w:vMerge/>
            <w:tcBorders>
              <w:top w:val="nil"/>
              <w:left w:val="single" w:sz="4" w:space="0" w:color="auto"/>
              <w:bottom w:val="single" w:sz="4" w:space="0" w:color="auto"/>
              <w:right w:val="single" w:sz="4" w:space="0" w:color="auto"/>
            </w:tcBorders>
            <w:vAlign w:val="center"/>
            <w:hideMark/>
          </w:tcPr>
          <w:p w:rsidR="00454E51" w:rsidRPr="00FA2779" w:rsidRDefault="00454E51"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454E51" w:rsidRPr="00FA2779" w:rsidRDefault="00454E51"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454E51" w:rsidRPr="00FA2779" w:rsidRDefault="00454E51"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preparazione e realizzazione delle attività di cooperazione del gruppo di azione locale</w:t>
            </w:r>
          </w:p>
        </w:tc>
        <w:tc>
          <w:tcPr>
            <w:tcW w:w="1118" w:type="dxa"/>
            <w:tcBorders>
              <w:top w:val="nil"/>
              <w:left w:val="nil"/>
              <w:bottom w:val="single" w:sz="4" w:space="0" w:color="auto"/>
              <w:right w:val="single" w:sz="4" w:space="0" w:color="auto"/>
            </w:tcBorders>
            <w:shd w:val="clear" w:color="auto" w:fill="auto"/>
            <w:noWrap/>
            <w:hideMark/>
          </w:tcPr>
          <w:p w:rsidR="00454E51" w:rsidRPr="00FA2779" w:rsidRDefault="00492AE5" w:rsidP="00127F05">
            <w:pPr>
              <w:jc w:val="center"/>
              <w:rPr>
                <w:rFonts w:ascii="Calibri" w:hAnsi="Calibri"/>
                <w:color w:val="000000"/>
                <w:sz w:val="16"/>
                <w:szCs w:val="16"/>
              </w:rPr>
            </w:pPr>
            <w:r w:rsidRPr="009F56CE">
              <w:rPr>
                <w:rFonts w:ascii="Calibri" w:hAnsi="Calibri"/>
                <w:color w:val="000000"/>
                <w:sz w:val="16"/>
                <w:szCs w:val="16"/>
              </w:rPr>
              <w:t>Parzialmente</w:t>
            </w:r>
          </w:p>
        </w:tc>
        <w:tc>
          <w:tcPr>
            <w:tcW w:w="2453" w:type="dxa"/>
            <w:tcBorders>
              <w:top w:val="nil"/>
              <w:left w:val="nil"/>
              <w:bottom w:val="single" w:sz="4" w:space="0" w:color="auto"/>
              <w:right w:val="single" w:sz="4" w:space="0" w:color="auto"/>
            </w:tcBorders>
            <w:shd w:val="clear" w:color="auto" w:fill="auto"/>
            <w:noWrap/>
            <w:vAlign w:val="bottom"/>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 </w:t>
            </w:r>
          </w:p>
        </w:tc>
      </w:tr>
      <w:tr w:rsidR="00454E51" w:rsidRPr="00FA2779" w:rsidTr="00454E51">
        <w:trPr>
          <w:trHeight w:val="1311"/>
        </w:trPr>
        <w:tc>
          <w:tcPr>
            <w:tcW w:w="1634" w:type="dxa"/>
            <w:vMerge/>
            <w:tcBorders>
              <w:top w:val="nil"/>
              <w:left w:val="single" w:sz="4" w:space="0" w:color="auto"/>
              <w:bottom w:val="single" w:sz="4" w:space="0" w:color="auto"/>
              <w:right w:val="single" w:sz="4" w:space="0" w:color="auto"/>
            </w:tcBorders>
            <w:vAlign w:val="center"/>
            <w:hideMark/>
          </w:tcPr>
          <w:p w:rsidR="00454E51" w:rsidRPr="00FA2779" w:rsidRDefault="00454E51"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454E51" w:rsidRPr="00FA2779" w:rsidRDefault="00454E51"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454E51" w:rsidRPr="00FA2779" w:rsidRDefault="00454E51" w:rsidP="00127F05">
            <w:pPr>
              <w:rPr>
                <w:rFonts w:ascii="Calibri" w:hAnsi="Calibri"/>
                <w:color w:val="000000"/>
                <w:sz w:val="16"/>
                <w:szCs w:val="16"/>
              </w:rPr>
            </w:pP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sostegno per i costi di gestione e animazione</w:t>
            </w:r>
          </w:p>
        </w:tc>
        <w:tc>
          <w:tcPr>
            <w:tcW w:w="1118" w:type="dxa"/>
            <w:tcBorders>
              <w:top w:val="nil"/>
              <w:left w:val="nil"/>
              <w:bottom w:val="single" w:sz="4" w:space="0" w:color="auto"/>
              <w:right w:val="single" w:sz="4" w:space="0" w:color="auto"/>
            </w:tcBorders>
            <w:shd w:val="clear" w:color="auto" w:fill="auto"/>
            <w:noWrap/>
            <w:hideMark/>
          </w:tcPr>
          <w:p w:rsidR="00454E51" w:rsidRPr="00FA2779" w:rsidRDefault="00454E51"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vAlign w:val="bottom"/>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 xml:space="preserve">Qualora il PSR lo preveda i Gal </w:t>
            </w:r>
            <w:r w:rsidRPr="00FA2779">
              <w:rPr>
                <w:rFonts w:ascii="Calibri" w:hAnsi="Calibri"/>
                <w:color w:val="222222"/>
                <w:sz w:val="16"/>
                <w:szCs w:val="16"/>
              </w:rPr>
              <w:br/>
              <w:t>possono chiedere un anticipo del</w:t>
            </w:r>
            <w:r w:rsidRPr="00FA2779">
              <w:rPr>
                <w:rFonts w:ascii="Calibri" w:hAnsi="Calibri"/>
                <w:color w:val="222222"/>
                <w:sz w:val="16"/>
                <w:szCs w:val="16"/>
              </w:rPr>
              <w:br/>
              <w:t xml:space="preserve">50% del contributo pubblico </w:t>
            </w:r>
            <w:r w:rsidRPr="00FA2779">
              <w:rPr>
                <w:rFonts w:ascii="Calibri" w:hAnsi="Calibri"/>
                <w:color w:val="222222"/>
                <w:sz w:val="16"/>
                <w:szCs w:val="16"/>
              </w:rPr>
              <w:br/>
              <w:t>(art. 42, c. 2 Reg UE 1305/2013)</w:t>
            </w:r>
          </w:p>
        </w:tc>
      </w:tr>
      <w:tr w:rsidR="00454E51" w:rsidRPr="00FA2779" w:rsidTr="00454E51">
        <w:trPr>
          <w:trHeight w:val="1237"/>
        </w:trPr>
        <w:tc>
          <w:tcPr>
            <w:tcW w:w="1634" w:type="dxa"/>
            <w:vMerge w:val="restart"/>
            <w:tcBorders>
              <w:top w:val="nil"/>
              <w:left w:val="single" w:sz="4" w:space="0" w:color="auto"/>
              <w:bottom w:val="single" w:sz="4" w:space="0" w:color="auto"/>
              <w:right w:val="single" w:sz="4" w:space="0" w:color="auto"/>
            </w:tcBorders>
            <w:shd w:val="clear" w:color="auto" w:fill="auto"/>
            <w:hideMark/>
          </w:tcPr>
          <w:p w:rsidR="00454E51" w:rsidRPr="00FA2779" w:rsidRDefault="00454E51" w:rsidP="00127F05">
            <w:pPr>
              <w:jc w:val="center"/>
              <w:rPr>
                <w:rFonts w:ascii="Calibri" w:hAnsi="Calibri"/>
                <w:color w:val="222222"/>
                <w:sz w:val="16"/>
                <w:szCs w:val="16"/>
              </w:rPr>
            </w:pPr>
            <w:r w:rsidRPr="00FA2779">
              <w:rPr>
                <w:rFonts w:ascii="Calibri" w:hAnsi="Calibri"/>
                <w:color w:val="222222"/>
                <w:sz w:val="16"/>
                <w:szCs w:val="16"/>
              </w:rPr>
              <w:t xml:space="preserve">Articoli </w:t>
            </w:r>
            <w:r w:rsidRPr="00FA2779">
              <w:rPr>
                <w:rFonts w:ascii="Calibri" w:hAnsi="Calibri"/>
                <w:color w:val="222222"/>
                <w:sz w:val="16"/>
                <w:szCs w:val="16"/>
              </w:rPr>
              <w:br/>
              <w:t>da 51 a 54</w:t>
            </w:r>
          </w:p>
        </w:tc>
        <w:tc>
          <w:tcPr>
            <w:tcW w:w="1908" w:type="dxa"/>
            <w:vMerge w:val="restart"/>
            <w:tcBorders>
              <w:top w:val="nil"/>
              <w:left w:val="single" w:sz="4" w:space="0" w:color="auto"/>
              <w:bottom w:val="single" w:sz="4" w:space="0" w:color="000000"/>
              <w:right w:val="single" w:sz="4" w:space="0" w:color="auto"/>
            </w:tcBorders>
            <w:shd w:val="clear" w:color="auto" w:fill="auto"/>
            <w:noWrap/>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Assistenza tecnica</w:t>
            </w:r>
          </w:p>
        </w:tc>
        <w:tc>
          <w:tcPr>
            <w:tcW w:w="680" w:type="dxa"/>
            <w:vMerge w:val="restart"/>
            <w:tcBorders>
              <w:top w:val="nil"/>
              <w:left w:val="single" w:sz="4" w:space="0" w:color="auto"/>
              <w:bottom w:val="single" w:sz="4" w:space="0" w:color="000000"/>
              <w:right w:val="single" w:sz="4" w:space="0" w:color="auto"/>
            </w:tcBorders>
            <w:shd w:val="clear" w:color="auto" w:fill="auto"/>
            <w:noWrap/>
            <w:hideMark/>
          </w:tcPr>
          <w:p w:rsidR="00454E51" w:rsidRPr="00FA2779" w:rsidRDefault="00454E51" w:rsidP="00127F05">
            <w:pPr>
              <w:jc w:val="center"/>
              <w:rPr>
                <w:rFonts w:ascii="Calibri" w:hAnsi="Calibri"/>
                <w:color w:val="000000"/>
                <w:sz w:val="16"/>
                <w:szCs w:val="16"/>
              </w:rPr>
            </w:pPr>
            <w:r w:rsidRPr="00FA2779">
              <w:rPr>
                <w:rFonts w:ascii="Calibri" w:hAnsi="Calibri"/>
                <w:color w:val="000000"/>
                <w:sz w:val="16"/>
                <w:szCs w:val="16"/>
              </w:rPr>
              <w:t>20</w:t>
            </w:r>
          </w:p>
        </w:tc>
        <w:tc>
          <w:tcPr>
            <w:tcW w:w="2150" w:type="dxa"/>
            <w:gridSpan w:val="2"/>
            <w:tcBorders>
              <w:top w:val="single" w:sz="4" w:space="0" w:color="auto"/>
              <w:left w:val="nil"/>
              <w:bottom w:val="single" w:sz="4" w:space="0" w:color="auto"/>
              <w:right w:val="single" w:sz="4" w:space="0" w:color="000000"/>
            </w:tcBorders>
            <w:shd w:val="clear" w:color="auto" w:fill="auto"/>
            <w:noWrap/>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sostegno per l’assistenza tecnica (esclusa la RRN)</w:t>
            </w:r>
          </w:p>
        </w:tc>
        <w:tc>
          <w:tcPr>
            <w:tcW w:w="1118" w:type="dxa"/>
            <w:tcBorders>
              <w:top w:val="nil"/>
              <w:left w:val="nil"/>
              <w:bottom w:val="single" w:sz="4" w:space="0" w:color="auto"/>
              <w:right w:val="single" w:sz="4" w:space="0" w:color="auto"/>
            </w:tcBorders>
            <w:shd w:val="clear" w:color="auto" w:fill="auto"/>
            <w:noWrap/>
            <w:hideMark/>
          </w:tcPr>
          <w:p w:rsidR="00454E51" w:rsidRPr="00FA2779" w:rsidRDefault="00454E51"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 </w:t>
            </w:r>
          </w:p>
        </w:tc>
      </w:tr>
      <w:tr w:rsidR="00454E51" w:rsidRPr="00FA2779" w:rsidTr="00454E51">
        <w:trPr>
          <w:trHeight w:val="373"/>
        </w:trPr>
        <w:tc>
          <w:tcPr>
            <w:tcW w:w="1634" w:type="dxa"/>
            <w:vMerge/>
            <w:tcBorders>
              <w:top w:val="nil"/>
              <w:left w:val="single" w:sz="4" w:space="0" w:color="auto"/>
              <w:bottom w:val="single" w:sz="4" w:space="0" w:color="auto"/>
              <w:right w:val="single" w:sz="4" w:space="0" w:color="auto"/>
            </w:tcBorders>
            <w:vAlign w:val="center"/>
            <w:hideMark/>
          </w:tcPr>
          <w:p w:rsidR="00454E51" w:rsidRPr="00FA2779" w:rsidRDefault="00454E51" w:rsidP="00127F05">
            <w:pPr>
              <w:rPr>
                <w:rFonts w:ascii="Calibri" w:hAnsi="Calibri"/>
                <w:color w:val="222222"/>
                <w:sz w:val="16"/>
                <w:szCs w:val="16"/>
              </w:rPr>
            </w:pPr>
          </w:p>
        </w:tc>
        <w:tc>
          <w:tcPr>
            <w:tcW w:w="1908" w:type="dxa"/>
            <w:vMerge/>
            <w:tcBorders>
              <w:top w:val="nil"/>
              <w:left w:val="single" w:sz="4" w:space="0" w:color="auto"/>
              <w:bottom w:val="single" w:sz="4" w:space="0" w:color="000000"/>
              <w:right w:val="single" w:sz="4" w:space="0" w:color="auto"/>
            </w:tcBorders>
            <w:vAlign w:val="center"/>
            <w:hideMark/>
          </w:tcPr>
          <w:p w:rsidR="00454E51" w:rsidRPr="00FA2779" w:rsidRDefault="00454E51" w:rsidP="00127F05">
            <w:pPr>
              <w:rPr>
                <w:rFonts w:ascii="Calibri" w:hAnsi="Calibri"/>
                <w:color w:val="222222"/>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rsidR="00454E51" w:rsidRPr="00FA2779" w:rsidRDefault="00454E51" w:rsidP="00127F05">
            <w:pPr>
              <w:rPr>
                <w:rFonts w:ascii="Calibri" w:hAnsi="Calibri"/>
                <w:color w:val="000000"/>
                <w:sz w:val="16"/>
                <w:szCs w:val="16"/>
              </w:rPr>
            </w:pPr>
          </w:p>
        </w:tc>
        <w:tc>
          <w:tcPr>
            <w:tcW w:w="215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sostegno per la costituzione e il funzionamento della RRN</w:t>
            </w:r>
          </w:p>
        </w:tc>
        <w:tc>
          <w:tcPr>
            <w:tcW w:w="1118" w:type="dxa"/>
            <w:tcBorders>
              <w:top w:val="nil"/>
              <w:left w:val="nil"/>
              <w:bottom w:val="single" w:sz="4" w:space="0" w:color="auto"/>
              <w:right w:val="single" w:sz="4" w:space="0" w:color="auto"/>
            </w:tcBorders>
            <w:shd w:val="clear" w:color="auto" w:fill="auto"/>
            <w:noWrap/>
            <w:hideMark/>
          </w:tcPr>
          <w:p w:rsidR="00454E51" w:rsidRPr="00FA2779" w:rsidRDefault="00454E51" w:rsidP="00127F05">
            <w:pPr>
              <w:jc w:val="center"/>
              <w:rPr>
                <w:rFonts w:ascii="Calibri" w:hAnsi="Calibri"/>
                <w:color w:val="000000"/>
                <w:sz w:val="16"/>
                <w:szCs w:val="16"/>
              </w:rPr>
            </w:pPr>
            <w:r w:rsidRPr="00FA2779">
              <w:rPr>
                <w:rFonts w:ascii="Calibri" w:hAnsi="Calibri"/>
                <w:color w:val="000000"/>
                <w:sz w:val="16"/>
                <w:szCs w:val="16"/>
              </w:rPr>
              <w:t>No</w:t>
            </w:r>
          </w:p>
        </w:tc>
        <w:tc>
          <w:tcPr>
            <w:tcW w:w="2453" w:type="dxa"/>
            <w:tcBorders>
              <w:top w:val="nil"/>
              <w:left w:val="nil"/>
              <w:bottom w:val="single" w:sz="4" w:space="0" w:color="auto"/>
              <w:right w:val="single" w:sz="4" w:space="0" w:color="auto"/>
            </w:tcBorders>
            <w:shd w:val="clear" w:color="auto" w:fill="auto"/>
            <w:noWrap/>
            <w:vAlign w:val="bottom"/>
            <w:hideMark/>
          </w:tcPr>
          <w:p w:rsidR="00454E51" w:rsidRPr="00FA2779" w:rsidRDefault="00454E51" w:rsidP="00127F05">
            <w:pPr>
              <w:rPr>
                <w:rFonts w:ascii="Calibri" w:hAnsi="Calibri"/>
                <w:color w:val="222222"/>
                <w:sz w:val="16"/>
                <w:szCs w:val="16"/>
              </w:rPr>
            </w:pPr>
            <w:r w:rsidRPr="00FA2779">
              <w:rPr>
                <w:rFonts w:ascii="Calibri" w:hAnsi="Calibri"/>
                <w:color w:val="222222"/>
                <w:sz w:val="16"/>
                <w:szCs w:val="16"/>
              </w:rPr>
              <w:t> </w:t>
            </w:r>
          </w:p>
        </w:tc>
      </w:tr>
    </w:tbl>
    <w:p w:rsidR="00686852" w:rsidRDefault="00686852" w:rsidP="00EA213D"/>
    <w:p w:rsidR="00686852" w:rsidRDefault="00686852" w:rsidP="00EA213D"/>
    <w:p w:rsidR="00686852" w:rsidRDefault="00686852" w:rsidP="00EA213D"/>
    <w:p w:rsidR="00686852" w:rsidRDefault="00686852" w:rsidP="00EA213D"/>
    <w:p w:rsidR="000B15ED" w:rsidRDefault="000B15ED" w:rsidP="00EA213D"/>
    <w:p w:rsidR="00AD35B0" w:rsidRDefault="00AD35B0" w:rsidP="00EA213D"/>
    <w:p w:rsidR="0029207B" w:rsidRDefault="0029207B" w:rsidP="0029207B"/>
    <w:p w:rsidR="0035108B" w:rsidRDefault="0035108B" w:rsidP="0029207B"/>
    <w:p w:rsidR="00400659" w:rsidRDefault="00400659" w:rsidP="0029207B"/>
    <w:p w:rsidR="0035108B" w:rsidRDefault="0035108B" w:rsidP="0029207B"/>
    <w:p w:rsidR="00DE482D" w:rsidRDefault="00DE482D"/>
    <w:p w:rsidR="009F56CE" w:rsidRDefault="009F56CE"/>
    <w:p w:rsidR="009F56CE" w:rsidRDefault="009F56CE"/>
    <w:p w:rsidR="009F56CE" w:rsidRDefault="009F56CE"/>
    <w:p w:rsidR="009F56CE" w:rsidRDefault="009F56CE"/>
    <w:p w:rsidR="009F56CE" w:rsidRDefault="009F56CE"/>
    <w:p w:rsidR="009F56CE" w:rsidRDefault="009F56CE"/>
    <w:p w:rsidR="00DE482D" w:rsidRDefault="00DE482D"/>
    <w:p w:rsidR="00DE482D" w:rsidRDefault="00DE482D"/>
    <w:p w:rsidR="00DE482D" w:rsidRDefault="00DE482D"/>
    <w:p w:rsidR="00DE482D" w:rsidRDefault="00DE482D"/>
    <w:p w:rsidR="00DE482D" w:rsidRDefault="00DE482D"/>
    <w:p w:rsidR="00DE482D" w:rsidRDefault="00DE482D"/>
    <w:p w:rsidR="00AD35B0" w:rsidRDefault="00B12E9E" w:rsidP="00EA213D">
      <w:pPr>
        <w:tabs>
          <w:tab w:val="left" w:pos="978"/>
        </w:tabs>
      </w:pPr>
      <w:r>
        <w:t>Allegato 2</w:t>
      </w:r>
    </w:p>
    <w:p w:rsidR="00686852" w:rsidRDefault="00686852" w:rsidP="00EA213D">
      <w:pPr>
        <w:tabs>
          <w:tab w:val="left" w:pos="97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901"/>
        <w:gridCol w:w="715"/>
        <w:gridCol w:w="1912"/>
        <w:gridCol w:w="1861"/>
        <w:gridCol w:w="531"/>
        <w:gridCol w:w="1896"/>
      </w:tblGrid>
      <w:tr w:rsidR="00F302B6" w:rsidRPr="00FA2779" w:rsidTr="00F31945">
        <w:trPr>
          <w:trHeight w:val="300"/>
        </w:trPr>
        <w:tc>
          <w:tcPr>
            <w:tcW w:w="9854" w:type="dxa"/>
            <w:gridSpan w:val="7"/>
            <w:shd w:val="clear" w:color="auto" w:fill="auto"/>
            <w:noWrap/>
            <w:hideMark/>
          </w:tcPr>
          <w:p w:rsidR="00F302B6" w:rsidRPr="00FA2779" w:rsidRDefault="00F302B6" w:rsidP="00611533">
            <w:pPr>
              <w:tabs>
                <w:tab w:val="left" w:pos="978"/>
              </w:tabs>
              <w:outlineLvl w:val="1"/>
              <w:rPr>
                <w:rFonts w:ascii="Calibri" w:hAnsi="Calibri"/>
                <w:sz w:val="18"/>
                <w:szCs w:val="18"/>
              </w:rPr>
            </w:pPr>
            <w:r>
              <w:br w:type="page"/>
            </w:r>
            <w:r>
              <w:tab/>
            </w:r>
            <w:bookmarkStart w:id="49" w:name="_Toc425768781"/>
            <w:bookmarkStart w:id="50" w:name="_Toc425768827"/>
            <w:bookmarkStart w:id="51" w:name="_Toc425769331"/>
            <w:bookmarkStart w:id="52" w:name="_Toc425770113"/>
            <w:bookmarkStart w:id="53" w:name="_Toc425945816"/>
            <w:bookmarkStart w:id="54" w:name="_Toc426033417"/>
            <w:bookmarkStart w:id="55" w:name="_Toc432090739"/>
            <w:r w:rsidR="007A7389">
              <w:rPr>
                <w:rFonts w:ascii="Calibri" w:hAnsi="Calibri"/>
                <w:noProof/>
                <w:sz w:val="18"/>
                <w:szCs w:val="18"/>
              </w:rPr>
              <w:drawing>
                <wp:anchor distT="0" distB="0" distL="114300" distR="114300" simplePos="0" relativeHeight="251658240" behindDoc="0" locked="0" layoutInCell="1" allowOverlap="1">
                  <wp:simplePos x="0" y="0"/>
                  <wp:positionH relativeFrom="column">
                    <wp:posOffset>1762125</wp:posOffset>
                  </wp:positionH>
                  <wp:positionV relativeFrom="paragraph">
                    <wp:posOffset>142875</wp:posOffset>
                  </wp:positionV>
                  <wp:extent cx="180975" cy="266700"/>
                  <wp:effectExtent l="0" t="0" r="0" b="0"/>
                  <wp:wrapNone/>
                  <wp:docPr id="3" name="CasellaDiTes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sellaDiTesto 1"/>
                          <pic:cNvPicPr>
                            <a:picLocks noChangeArrowheads="1"/>
                          </pic:cNvPicPr>
                        </pic:nvPicPr>
                        <pic:blipFill>
                          <a:blip r:embed="rId12" cstate="print"/>
                          <a:srcRect/>
                          <a:stretch>
                            <a:fillRect/>
                          </a:stretch>
                        </pic:blipFill>
                        <pic:spPr bwMode="auto">
                          <a:xfrm>
                            <a:off x="0" y="0"/>
                            <a:ext cx="180975" cy="266700"/>
                          </a:xfrm>
                          <a:prstGeom prst="rect">
                            <a:avLst/>
                          </a:prstGeom>
                          <a:noFill/>
                        </pic:spPr>
                      </pic:pic>
                    </a:graphicData>
                  </a:graphic>
                </wp:anchor>
              </w:drawing>
            </w:r>
            <w:bookmarkEnd w:id="49"/>
            <w:bookmarkEnd w:id="50"/>
            <w:bookmarkEnd w:id="51"/>
            <w:bookmarkEnd w:id="52"/>
            <w:bookmarkEnd w:id="53"/>
            <w:bookmarkEnd w:id="54"/>
            <w:bookmarkEnd w:id="55"/>
          </w:p>
          <w:tbl>
            <w:tblPr>
              <w:tblW w:w="0" w:type="auto"/>
              <w:tblCellSpacing w:w="0" w:type="dxa"/>
              <w:tblCellMar>
                <w:left w:w="0" w:type="dxa"/>
                <w:right w:w="0" w:type="dxa"/>
              </w:tblCellMar>
              <w:tblLook w:val="04A0" w:firstRow="1" w:lastRow="0" w:firstColumn="1" w:lastColumn="0" w:noHBand="0" w:noVBand="1"/>
            </w:tblPr>
            <w:tblGrid>
              <w:gridCol w:w="9628"/>
            </w:tblGrid>
            <w:tr w:rsidR="00F302B6" w:rsidRPr="00FA2779" w:rsidTr="00F31945">
              <w:trPr>
                <w:trHeight w:val="300"/>
                <w:tblCellSpacing w:w="0" w:type="dxa"/>
              </w:trPr>
              <w:tc>
                <w:tcPr>
                  <w:tcW w:w="152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302B6" w:rsidRPr="00FA2779" w:rsidRDefault="00F302B6" w:rsidP="00611533">
                  <w:pPr>
                    <w:pStyle w:val="Titolo"/>
                    <w:outlineLvl w:val="1"/>
                  </w:pPr>
                  <w:bookmarkStart w:id="56" w:name="_Toc422398275"/>
                  <w:bookmarkStart w:id="57" w:name="_Toc432090740"/>
                  <w:r w:rsidRPr="00FA2779">
                    <w:t xml:space="preserve">Allegato </w:t>
                  </w:r>
                  <w:r>
                    <w:t>2</w:t>
                  </w:r>
                  <w:r w:rsidRPr="00FA2779">
                    <w:t xml:space="preserve">: </w:t>
                  </w:r>
                  <w:r>
                    <w:t>Applicazione dei costi semplificati (SCO) n</w:t>
                  </w:r>
                  <w:r w:rsidRPr="00FA2779">
                    <w:t>el FEASR</w:t>
                  </w:r>
                  <w:bookmarkEnd w:id="56"/>
                  <w:bookmarkEnd w:id="57"/>
                  <w:r w:rsidRPr="00FA2779">
                    <w:t xml:space="preserve"> </w:t>
                  </w:r>
                  <w:r>
                    <w:t xml:space="preserve"> </w:t>
                  </w:r>
                </w:p>
              </w:tc>
            </w:tr>
          </w:tbl>
          <w:p w:rsidR="00F302B6" w:rsidRPr="00FA2779" w:rsidRDefault="00F302B6" w:rsidP="00611533">
            <w:pPr>
              <w:tabs>
                <w:tab w:val="left" w:pos="978"/>
              </w:tabs>
              <w:outlineLvl w:val="1"/>
              <w:rPr>
                <w:rFonts w:ascii="Calibri" w:hAnsi="Calibri"/>
                <w:sz w:val="18"/>
                <w:szCs w:val="18"/>
              </w:rPr>
            </w:pPr>
          </w:p>
        </w:tc>
      </w:tr>
      <w:tr w:rsidR="00F302B6" w:rsidRPr="00FA2779" w:rsidTr="00F31945">
        <w:trPr>
          <w:trHeight w:val="539"/>
        </w:trPr>
        <w:tc>
          <w:tcPr>
            <w:tcW w:w="9854" w:type="dxa"/>
            <w:gridSpan w:val="7"/>
            <w:shd w:val="clear" w:color="auto" w:fill="auto"/>
            <w:hideMark/>
          </w:tcPr>
          <w:p w:rsidR="00F302B6" w:rsidRPr="00FA2779" w:rsidRDefault="00F302B6" w:rsidP="00F31945">
            <w:pPr>
              <w:tabs>
                <w:tab w:val="left" w:pos="978"/>
              </w:tabs>
              <w:rPr>
                <w:rFonts w:ascii="Calibri" w:hAnsi="Calibri"/>
                <w:sz w:val="18"/>
                <w:szCs w:val="18"/>
              </w:rPr>
            </w:pPr>
            <w:r>
              <w:rPr>
                <w:rFonts w:ascii="Calibri" w:hAnsi="Calibri"/>
                <w:sz w:val="18"/>
                <w:szCs w:val="18"/>
              </w:rPr>
              <w:t>Di seguito vengono elencate le misure che possono rientrare nell’ambito di applicazione dei costi semplificati. Questa lista è meramente indicativa.</w:t>
            </w:r>
          </w:p>
        </w:tc>
      </w:tr>
      <w:tr w:rsidR="00F302B6" w:rsidRPr="00FA2779" w:rsidTr="00F31945">
        <w:trPr>
          <w:trHeight w:val="300"/>
        </w:trPr>
        <w:tc>
          <w:tcPr>
            <w:tcW w:w="1038"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190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715"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1912"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186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00"/>
        </w:trPr>
        <w:tc>
          <w:tcPr>
            <w:tcW w:w="2939" w:type="dxa"/>
            <w:gridSpan w:val="2"/>
            <w:vMerge w:val="restart"/>
            <w:shd w:val="clear" w:color="auto" w:fill="auto"/>
            <w:hideMark/>
          </w:tcPr>
          <w:p w:rsidR="00F302B6" w:rsidRPr="00FA2779" w:rsidRDefault="00F302B6" w:rsidP="00F31945">
            <w:pPr>
              <w:tabs>
                <w:tab w:val="left" w:pos="978"/>
              </w:tabs>
              <w:jc w:val="center"/>
              <w:rPr>
                <w:rFonts w:ascii="Calibri" w:hAnsi="Calibri"/>
                <w:b/>
                <w:bCs/>
                <w:sz w:val="18"/>
                <w:szCs w:val="18"/>
              </w:rPr>
            </w:pPr>
            <w:r w:rsidRPr="00FA2779">
              <w:rPr>
                <w:rFonts w:ascii="Calibri" w:hAnsi="Calibri"/>
                <w:b/>
                <w:bCs/>
                <w:sz w:val="18"/>
                <w:szCs w:val="18"/>
              </w:rPr>
              <w:t xml:space="preserve">Misura sotto </w:t>
            </w:r>
            <w:r w:rsidRPr="00FA2779">
              <w:rPr>
                <w:rFonts w:ascii="Calibri" w:hAnsi="Calibri"/>
                <w:b/>
                <w:bCs/>
                <w:sz w:val="18"/>
                <w:szCs w:val="18"/>
              </w:rPr>
              <w:br/>
              <w:t>Regolamento (UE) n 1305/2013 o Regolamento (UE) n 1303/2013</w:t>
            </w:r>
          </w:p>
        </w:tc>
        <w:tc>
          <w:tcPr>
            <w:tcW w:w="715" w:type="dxa"/>
            <w:vMerge w:val="restart"/>
            <w:shd w:val="clear" w:color="auto" w:fill="auto"/>
            <w:hideMark/>
          </w:tcPr>
          <w:p w:rsidR="00F302B6" w:rsidRPr="00FA2779" w:rsidRDefault="00F302B6" w:rsidP="00F31945">
            <w:pPr>
              <w:tabs>
                <w:tab w:val="left" w:pos="978"/>
              </w:tabs>
              <w:jc w:val="center"/>
              <w:rPr>
                <w:rFonts w:ascii="Calibri" w:hAnsi="Calibri"/>
                <w:b/>
                <w:bCs/>
                <w:sz w:val="18"/>
                <w:szCs w:val="18"/>
              </w:rPr>
            </w:pPr>
            <w:r w:rsidRPr="00FA2779">
              <w:rPr>
                <w:rFonts w:ascii="Calibri" w:hAnsi="Calibri"/>
                <w:b/>
                <w:bCs/>
                <w:sz w:val="18"/>
                <w:szCs w:val="18"/>
              </w:rPr>
              <w:t>Codice</w:t>
            </w:r>
          </w:p>
        </w:tc>
        <w:tc>
          <w:tcPr>
            <w:tcW w:w="3773" w:type="dxa"/>
            <w:gridSpan w:val="2"/>
            <w:vMerge w:val="restart"/>
            <w:shd w:val="clear" w:color="auto" w:fill="auto"/>
            <w:hideMark/>
          </w:tcPr>
          <w:p w:rsidR="00F302B6" w:rsidRPr="00FA2779" w:rsidRDefault="00F302B6" w:rsidP="00F31945">
            <w:pPr>
              <w:tabs>
                <w:tab w:val="left" w:pos="978"/>
              </w:tabs>
              <w:jc w:val="center"/>
              <w:rPr>
                <w:rFonts w:ascii="Calibri" w:hAnsi="Calibri"/>
                <w:b/>
                <w:bCs/>
                <w:sz w:val="18"/>
                <w:szCs w:val="18"/>
              </w:rPr>
            </w:pPr>
            <w:r w:rsidRPr="00FA2779">
              <w:rPr>
                <w:rFonts w:ascii="Calibri" w:hAnsi="Calibri"/>
                <w:b/>
                <w:bCs/>
                <w:sz w:val="18"/>
                <w:szCs w:val="18"/>
              </w:rPr>
              <w:t>Sub-misura ai fini della programmazione (se del caso)</w:t>
            </w:r>
          </w:p>
        </w:tc>
        <w:tc>
          <w:tcPr>
            <w:tcW w:w="531" w:type="dxa"/>
            <w:vMerge w:val="restart"/>
            <w:shd w:val="clear" w:color="auto" w:fill="auto"/>
            <w:hideMark/>
          </w:tcPr>
          <w:p w:rsidR="00F302B6" w:rsidRPr="00FA2779" w:rsidRDefault="00F302B6" w:rsidP="00F31945">
            <w:pPr>
              <w:tabs>
                <w:tab w:val="left" w:pos="978"/>
              </w:tabs>
              <w:jc w:val="center"/>
              <w:rPr>
                <w:rFonts w:ascii="Calibri" w:hAnsi="Calibri"/>
                <w:b/>
                <w:bCs/>
                <w:sz w:val="18"/>
                <w:szCs w:val="18"/>
              </w:rPr>
            </w:pPr>
            <w:r w:rsidRPr="00FA2779">
              <w:rPr>
                <w:rFonts w:ascii="Calibri" w:hAnsi="Calibri"/>
                <w:b/>
                <w:bCs/>
                <w:sz w:val="18"/>
                <w:szCs w:val="18"/>
              </w:rPr>
              <w:t xml:space="preserve">SCO </w:t>
            </w:r>
            <w:r w:rsidRPr="00FA2779">
              <w:rPr>
                <w:rFonts w:ascii="Calibri" w:hAnsi="Calibri"/>
                <w:b/>
                <w:bCs/>
                <w:sz w:val="18"/>
                <w:szCs w:val="18"/>
              </w:rPr>
              <w:br/>
              <w:t>(Sì No)</w:t>
            </w:r>
          </w:p>
        </w:tc>
        <w:tc>
          <w:tcPr>
            <w:tcW w:w="1896" w:type="dxa"/>
            <w:vMerge w:val="restart"/>
            <w:shd w:val="clear" w:color="auto" w:fill="auto"/>
            <w:hideMark/>
          </w:tcPr>
          <w:p w:rsidR="00F302B6" w:rsidRPr="00FA2779" w:rsidRDefault="00F302B6" w:rsidP="00F31945">
            <w:pPr>
              <w:tabs>
                <w:tab w:val="left" w:pos="978"/>
              </w:tabs>
              <w:jc w:val="center"/>
              <w:rPr>
                <w:rFonts w:ascii="Calibri" w:hAnsi="Calibri"/>
                <w:b/>
                <w:bCs/>
                <w:sz w:val="18"/>
                <w:szCs w:val="18"/>
              </w:rPr>
            </w:pPr>
            <w:r w:rsidRPr="00FA2779">
              <w:rPr>
                <w:rFonts w:ascii="Calibri" w:hAnsi="Calibri"/>
                <w:b/>
                <w:bCs/>
                <w:sz w:val="18"/>
                <w:szCs w:val="18"/>
              </w:rPr>
              <w:t>Commenti</w:t>
            </w:r>
          </w:p>
        </w:tc>
      </w:tr>
      <w:tr w:rsidR="00F302B6" w:rsidRPr="00FA2779" w:rsidTr="00F31945">
        <w:trPr>
          <w:trHeight w:val="300"/>
        </w:trPr>
        <w:tc>
          <w:tcPr>
            <w:tcW w:w="2939" w:type="dxa"/>
            <w:gridSpan w:val="2"/>
            <w:vMerge/>
            <w:shd w:val="clear" w:color="auto" w:fill="auto"/>
            <w:hideMark/>
          </w:tcPr>
          <w:p w:rsidR="00F302B6" w:rsidRPr="00FA2779" w:rsidRDefault="00F302B6" w:rsidP="00F31945">
            <w:pPr>
              <w:tabs>
                <w:tab w:val="left" w:pos="978"/>
              </w:tabs>
              <w:rPr>
                <w:rFonts w:ascii="Calibri" w:hAnsi="Calibri"/>
                <w:b/>
                <w:bCs/>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b/>
                <w:bCs/>
                <w:sz w:val="18"/>
                <w:szCs w:val="18"/>
              </w:rPr>
            </w:pPr>
          </w:p>
        </w:tc>
        <w:tc>
          <w:tcPr>
            <w:tcW w:w="3773" w:type="dxa"/>
            <w:gridSpan w:val="2"/>
            <w:vMerge/>
            <w:shd w:val="clear" w:color="auto" w:fill="auto"/>
            <w:hideMark/>
          </w:tcPr>
          <w:p w:rsidR="00F302B6" w:rsidRPr="00FA2779" w:rsidRDefault="00F302B6" w:rsidP="00F31945">
            <w:pPr>
              <w:tabs>
                <w:tab w:val="left" w:pos="978"/>
              </w:tabs>
              <w:rPr>
                <w:rFonts w:ascii="Calibri" w:hAnsi="Calibri"/>
                <w:b/>
                <w:bCs/>
                <w:sz w:val="18"/>
                <w:szCs w:val="18"/>
              </w:rPr>
            </w:pPr>
          </w:p>
        </w:tc>
        <w:tc>
          <w:tcPr>
            <w:tcW w:w="531" w:type="dxa"/>
            <w:vMerge/>
            <w:shd w:val="clear" w:color="auto" w:fill="auto"/>
            <w:hideMark/>
          </w:tcPr>
          <w:p w:rsidR="00F302B6" w:rsidRPr="00FA2779" w:rsidRDefault="00F302B6" w:rsidP="00F31945">
            <w:pPr>
              <w:tabs>
                <w:tab w:val="left" w:pos="978"/>
              </w:tabs>
              <w:rPr>
                <w:rFonts w:ascii="Calibri" w:hAnsi="Calibri"/>
                <w:b/>
                <w:bCs/>
                <w:sz w:val="18"/>
                <w:szCs w:val="18"/>
              </w:rPr>
            </w:pPr>
          </w:p>
        </w:tc>
        <w:tc>
          <w:tcPr>
            <w:tcW w:w="1896" w:type="dxa"/>
            <w:vMerge/>
            <w:shd w:val="clear" w:color="auto" w:fill="auto"/>
            <w:hideMark/>
          </w:tcPr>
          <w:p w:rsidR="00F302B6" w:rsidRPr="00FA2779" w:rsidRDefault="00F302B6" w:rsidP="00F31945">
            <w:pPr>
              <w:tabs>
                <w:tab w:val="left" w:pos="978"/>
              </w:tabs>
              <w:rPr>
                <w:rFonts w:ascii="Calibri" w:hAnsi="Calibri"/>
                <w:b/>
                <w:bCs/>
                <w:sz w:val="18"/>
                <w:szCs w:val="18"/>
              </w:rPr>
            </w:pPr>
          </w:p>
        </w:tc>
      </w:tr>
      <w:tr w:rsidR="00F302B6" w:rsidRPr="00FA2779" w:rsidTr="00F31945">
        <w:trPr>
          <w:trHeight w:val="300"/>
        </w:trPr>
        <w:tc>
          <w:tcPr>
            <w:tcW w:w="2939" w:type="dxa"/>
            <w:gridSpan w:val="2"/>
            <w:vMerge/>
            <w:shd w:val="clear" w:color="auto" w:fill="auto"/>
            <w:hideMark/>
          </w:tcPr>
          <w:p w:rsidR="00F302B6" w:rsidRPr="00FA2779" w:rsidRDefault="00F302B6" w:rsidP="00F31945">
            <w:pPr>
              <w:tabs>
                <w:tab w:val="left" w:pos="978"/>
              </w:tabs>
              <w:rPr>
                <w:rFonts w:ascii="Calibri" w:hAnsi="Calibri"/>
                <w:b/>
                <w:bCs/>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b/>
                <w:bCs/>
                <w:sz w:val="18"/>
                <w:szCs w:val="18"/>
              </w:rPr>
            </w:pPr>
          </w:p>
        </w:tc>
        <w:tc>
          <w:tcPr>
            <w:tcW w:w="3773" w:type="dxa"/>
            <w:gridSpan w:val="2"/>
            <w:vMerge/>
            <w:shd w:val="clear" w:color="auto" w:fill="auto"/>
            <w:hideMark/>
          </w:tcPr>
          <w:p w:rsidR="00F302B6" w:rsidRPr="00FA2779" w:rsidRDefault="00F302B6" w:rsidP="00F31945">
            <w:pPr>
              <w:tabs>
                <w:tab w:val="left" w:pos="978"/>
              </w:tabs>
              <w:rPr>
                <w:rFonts w:ascii="Calibri" w:hAnsi="Calibri"/>
                <w:b/>
                <w:bCs/>
                <w:sz w:val="18"/>
                <w:szCs w:val="18"/>
              </w:rPr>
            </w:pPr>
          </w:p>
        </w:tc>
        <w:tc>
          <w:tcPr>
            <w:tcW w:w="531" w:type="dxa"/>
            <w:vMerge/>
            <w:shd w:val="clear" w:color="auto" w:fill="auto"/>
            <w:hideMark/>
          </w:tcPr>
          <w:p w:rsidR="00F302B6" w:rsidRPr="00FA2779" w:rsidRDefault="00F302B6" w:rsidP="00F31945">
            <w:pPr>
              <w:tabs>
                <w:tab w:val="left" w:pos="978"/>
              </w:tabs>
              <w:rPr>
                <w:rFonts w:ascii="Calibri" w:hAnsi="Calibri"/>
                <w:b/>
                <w:bCs/>
                <w:sz w:val="18"/>
                <w:szCs w:val="18"/>
              </w:rPr>
            </w:pPr>
          </w:p>
        </w:tc>
        <w:tc>
          <w:tcPr>
            <w:tcW w:w="1896" w:type="dxa"/>
            <w:vMerge/>
            <w:shd w:val="clear" w:color="auto" w:fill="auto"/>
            <w:hideMark/>
          </w:tcPr>
          <w:p w:rsidR="00F302B6" w:rsidRPr="00FA2779" w:rsidRDefault="00F302B6" w:rsidP="00F31945">
            <w:pPr>
              <w:tabs>
                <w:tab w:val="left" w:pos="978"/>
              </w:tabs>
              <w:rPr>
                <w:rFonts w:ascii="Calibri" w:hAnsi="Calibri"/>
                <w:b/>
                <w:bCs/>
                <w:sz w:val="18"/>
                <w:szCs w:val="18"/>
              </w:rPr>
            </w:pPr>
          </w:p>
        </w:tc>
      </w:tr>
      <w:tr w:rsidR="00F302B6" w:rsidRPr="00FA2779" w:rsidTr="00F31945">
        <w:trPr>
          <w:trHeight w:val="585"/>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14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trasferire conoscenze e azioni </w:t>
            </w:r>
            <w:r w:rsidRPr="00FA2779">
              <w:rPr>
                <w:rFonts w:ascii="Calibri" w:hAnsi="Calibri"/>
                <w:sz w:val="18"/>
                <w:szCs w:val="18"/>
              </w:rPr>
              <w:br/>
              <w:t>di informazione</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1</w:t>
            </w:r>
          </w:p>
        </w:tc>
        <w:tc>
          <w:tcPr>
            <w:tcW w:w="1912"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alla formazione e acquisizione di competenze professionali </w:t>
            </w:r>
          </w:p>
        </w:tc>
        <w:tc>
          <w:tcPr>
            <w:tcW w:w="186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Sì</w:t>
            </w:r>
          </w:p>
        </w:tc>
        <w:tc>
          <w:tcPr>
            <w:tcW w:w="1896" w:type="dxa"/>
            <w:vMerge w:val="restart"/>
            <w:shd w:val="clear" w:color="auto" w:fill="auto"/>
            <w:hideMark/>
          </w:tcPr>
          <w:p w:rsidR="00F302B6" w:rsidRPr="00FA2779" w:rsidRDefault="00F302B6" w:rsidP="004563DB">
            <w:pPr>
              <w:tabs>
                <w:tab w:val="left" w:pos="978"/>
              </w:tabs>
              <w:rPr>
                <w:rFonts w:ascii="Calibri" w:hAnsi="Calibri"/>
                <w:sz w:val="18"/>
                <w:szCs w:val="18"/>
              </w:rPr>
            </w:pPr>
            <w:r w:rsidRPr="00FA2779">
              <w:rPr>
                <w:rFonts w:ascii="Calibri" w:hAnsi="Calibri"/>
                <w:sz w:val="18"/>
                <w:szCs w:val="18"/>
              </w:rPr>
              <w:t>Non consentito se la misura è</w:t>
            </w:r>
            <w:r w:rsidRPr="00FA2779">
              <w:rPr>
                <w:rFonts w:ascii="Calibri" w:hAnsi="Calibri"/>
                <w:sz w:val="18"/>
                <w:szCs w:val="18"/>
              </w:rPr>
              <w:br/>
              <w:t>implementata attraverso un pubblico appalto</w:t>
            </w:r>
          </w:p>
        </w:tc>
      </w:tr>
      <w:tr w:rsidR="00F302B6" w:rsidRPr="00FA2779" w:rsidTr="00F31945">
        <w:trPr>
          <w:trHeight w:val="9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12"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alle attività di dimostrazione e azioni di informazione</w:t>
            </w:r>
          </w:p>
        </w:tc>
        <w:tc>
          <w:tcPr>
            <w:tcW w:w="186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Sì</w:t>
            </w: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69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per l'azienda agricola a breve termine e scambio di gestione </w:t>
            </w:r>
            <w:r w:rsidRPr="00FA2779">
              <w:rPr>
                <w:rFonts w:ascii="Calibri" w:hAnsi="Calibri"/>
                <w:sz w:val="18"/>
                <w:szCs w:val="18"/>
              </w:rPr>
              <w:br/>
              <w:t>forestale così come agricolo e forestale visite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Sì</w:t>
            </w: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30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Articolo 15</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servizi di consulenza, fattoria</w:t>
            </w:r>
            <w:r w:rsidRPr="00FA2779">
              <w:rPr>
                <w:rFonts w:ascii="Calibri" w:hAnsi="Calibri"/>
                <w:sz w:val="18"/>
                <w:szCs w:val="18"/>
              </w:rPr>
              <w:br/>
              <w:t>sollievo gestione e la fattoria</w:t>
            </w:r>
            <w:r w:rsidRPr="00FA2779">
              <w:rPr>
                <w:rFonts w:ascii="Calibri" w:hAnsi="Calibri"/>
                <w:sz w:val="18"/>
                <w:szCs w:val="18"/>
              </w:rPr>
              <w:br/>
              <w:t>Servizi</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2</w:t>
            </w:r>
          </w:p>
        </w:tc>
        <w:tc>
          <w:tcPr>
            <w:tcW w:w="1912"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aiuto a beneficiare l'uso di servizi di consulenza </w:t>
            </w:r>
          </w:p>
        </w:tc>
        <w:tc>
          <w:tcPr>
            <w:tcW w:w="186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3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per la creazione di gestione delle aziende agricole, </w:t>
            </w:r>
            <w:r w:rsidRPr="00FA2779">
              <w:rPr>
                <w:rFonts w:ascii="Calibri" w:hAnsi="Calibri"/>
                <w:sz w:val="18"/>
                <w:szCs w:val="18"/>
              </w:rPr>
              <w:br/>
              <w:t>sostituzione nelle aziende agricole e servizi di consulenza aziendale, nonché servizi di consulenza forestale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64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vMerge/>
            <w:shd w:val="clear" w:color="auto" w:fill="auto"/>
            <w:hideMark/>
          </w:tcPr>
          <w:p w:rsidR="00F302B6" w:rsidRPr="00FA2779" w:rsidRDefault="00F302B6" w:rsidP="00F31945">
            <w:pPr>
              <w:tabs>
                <w:tab w:val="left" w:pos="978"/>
              </w:tabs>
              <w:rPr>
                <w:rFonts w:ascii="Calibri" w:hAnsi="Calibri"/>
                <w:sz w:val="18"/>
                <w:szCs w:val="18"/>
              </w:rPr>
            </w:pP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6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12"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alla formazione di consulenti </w:t>
            </w:r>
          </w:p>
        </w:tc>
        <w:tc>
          <w:tcPr>
            <w:tcW w:w="186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60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16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regimi di qualità dei agricola </w:t>
            </w:r>
            <w:r w:rsidRPr="00FA2779">
              <w:rPr>
                <w:rFonts w:ascii="Calibri" w:hAnsi="Calibri"/>
                <w:sz w:val="18"/>
                <w:szCs w:val="18"/>
              </w:rPr>
              <w:br/>
              <w:t>prodotti e sulle derrate alimentari</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3</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alla nuova partecipazione a sistemi di qualità</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 </w:t>
            </w:r>
          </w:p>
        </w:tc>
      </w:tr>
      <w:tr w:rsidR="00F302B6" w:rsidRPr="00FA2779" w:rsidTr="00F31945">
        <w:trPr>
          <w:trHeight w:val="3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alle attività di informazione e promozione attuato</w:t>
            </w:r>
            <w:r w:rsidRPr="00FA2779">
              <w:rPr>
                <w:rFonts w:ascii="Calibri" w:hAnsi="Calibri"/>
                <w:sz w:val="18"/>
                <w:szCs w:val="18"/>
              </w:rPr>
              <w:br/>
              <w:t>da gruppi di produttori nel mercato interno</w:t>
            </w:r>
          </w:p>
        </w:tc>
        <w:tc>
          <w:tcPr>
            <w:tcW w:w="53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vMerge/>
            <w:shd w:val="clear" w:color="auto" w:fill="auto"/>
            <w:hideMark/>
          </w:tcPr>
          <w:p w:rsidR="00F302B6" w:rsidRPr="00FA2779" w:rsidRDefault="00F302B6" w:rsidP="00F31945">
            <w:pPr>
              <w:tabs>
                <w:tab w:val="left" w:pos="978"/>
              </w:tabs>
              <w:rPr>
                <w:rFonts w:ascii="Calibri" w:hAnsi="Calibri"/>
                <w:sz w:val="18"/>
                <w:szCs w:val="18"/>
              </w:rPr>
            </w:pPr>
          </w:p>
        </w:tc>
        <w:tc>
          <w:tcPr>
            <w:tcW w:w="53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30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17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Investimenti in immobilizzazioni </w:t>
            </w:r>
            <w:r w:rsidRPr="00FA2779">
              <w:rPr>
                <w:rFonts w:ascii="Calibri" w:hAnsi="Calibri"/>
                <w:sz w:val="18"/>
                <w:szCs w:val="18"/>
              </w:rPr>
              <w:br/>
              <w:t xml:space="preserve">materiali </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4</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nelle aziende agricole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3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nel settore della trasformazione/</w:t>
            </w:r>
            <w:r w:rsidRPr="00FA2779">
              <w:rPr>
                <w:rFonts w:ascii="Calibri" w:hAnsi="Calibri"/>
                <w:sz w:val="18"/>
                <w:szCs w:val="18"/>
              </w:rPr>
              <w:br/>
              <w:t>commercializzazione e/o sviluppo di prodotti agricoli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nelle infrastrutture legate allo sviluppo,</w:t>
            </w:r>
            <w:r w:rsidRPr="00FA2779">
              <w:rPr>
                <w:rFonts w:ascii="Calibri" w:hAnsi="Calibri"/>
                <w:sz w:val="18"/>
                <w:szCs w:val="18"/>
              </w:rPr>
              <w:br/>
              <w:t>ammodernamento o adeguamento dell'agricoltura e della silvicoltura</w:t>
            </w:r>
            <w:r w:rsidRPr="00FA2779">
              <w:rPr>
                <w:rFonts w:ascii="Calibri" w:hAnsi="Calibri"/>
                <w:sz w:val="18"/>
                <w:szCs w:val="18"/>
              </w:rPr>
              <w:br/>
              <w:t xml:space="preserve"> </w:t>
            </w:r>
          </w:p>
        </w:tc>
        <w:tc>
          <w:tcPr>
            <w:tcW w:w="53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vMerge/>
            <w:shd w:val="clear" w:color="auto" w:fill="auto"/>
            <w:hideMark/>
          </w:tcPr>
          <w:p w:rsidR="00F302B6" w:rsidRPr="00FA2779" w:rsidRDefault="00F302B6" w:rsidP="00F31945">
            <w:pPr>
              <w:tabs>
                <w:tab w:val="left" w:pos="978"/>
              </w:tabs>
              <w:rPr>
                <w:rFonts w:ascii="Calibri" w:hAnsi="Calibri"/>
                <w:sz w:val="18"/>
                <w:szCs w:val="18"/>
              </w:rPr>
            </w:pPr>
          </w:p>
        </w:tc>
        <w:tc>
          <w:tcPr>
            <w:tcW w:w="53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6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non produttivi legato al raggiungimento</w:t>
            </w:r>
            <w:r w:rsidRPr="00FA2779">
              <w:rPr>
                <w:rFonts w:ascii="Calibri" w:hAnsi="Calibri"/>
                <w:sz w:val="18"/>
                <w:szCs w:val="18"/>
              </w:rPr>
              <w:br/>
              <w:t xml:space="preserve"> degli obiettivi agro-climatico-ambientali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102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18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ripristino agricolo potenziale</w:t>
            </w:r>
            <w:r w:rsidRPr="00FA2779">
              <w:rPr>
                <w:rFonts w:ascii="Calibri" w:hAnsi="Calibri"/>
                <w:sz w:val="18"/>
                <w:szCs w:val="18"/>
              </w:rPr>
              <w:br/>
              <w:t>produttivo danni le catastrofi</w:t>
            </w:r>
            <w:r w:rsidRPr="00FA2779">
              <w:rPr>
                <w:rFonts w:ascii="Calibri" w:hAnsi="Calibri"/>
                <w:sz w:val="18"/>
                <w:szCs w:val="18"/>
              </w:rPr>
              <w:br/>
              <w:t xml:space="preserve">naturali e introduzione </w:t>
            </w:r>
            <w:r w:rsidRPr="00FA2779">
              <w:rPr>
                <w:rFonts w:ascii="Calibri" w:hAnsi="Calibri"/>
                <w:sz w:val="18"/>
                <w:szCs w:val="18"/>
              </w:rPr>
              <w:lastRenderedPageBreak/>
              <w:t>di adeguate prevenzioni</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lastRenderedPageBreak/>
              <w:t>5</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gli investimenti in azioni di prevenzione volte a ridurre le probabili conseguenze delle catastrofi naturali, avversità atmosferiche manifestazioni ed eventi catastrofici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9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agli investimenti per il ripristino dei terreni agricoli e la </w:t>
            </w:r>
            <w:r w:rsidRPr="00FA2779">
              <w:rPr>
                <w:rFonts w:ascii="Calibri" w:hAnsi="Calibri"/>
                <w:sz w:val="18"/>
                <w:szCs w:val="18"/>
              </w:rPr>
              <w:br w:type="page"/>
              <w:t xml:space="preserve">produzione potenzialmente danneggiato da calamità naturali, </w:t>
            </w:r>
            <w:r w:rsidRPr="00FA2779">
              <w:rPr>
                <w:rFonts w:ascii="Calibri" w:hAnsi="Calibri"/>
                <w:sz w:val="18"/>
                <w:szCs w:val="18"/>
              </w:rPr>
              <w:br w:type="page"/>
              <w:t>avversità atmosferiche e da eventi catastrofici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3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lastRenderedPageBreak/>
              <w:t xml:space="preserve">Articolo 19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aziende agricole e lo sviluppo </w:t>
            </w:r>
            <w:r w:rsidRPr="00FA2779">
              <w:rPr>
                <w:rFonts w:ascii="Calibri" w:hAnsi="Calibri"/>
                <w:sz w:val="18"/>
                <w:szCs w:val="18"/>
              </w:rPr>
              <w:br/>
              <w:t>del business aziendale</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6</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aiuti all'avviamento per i giovani agricoltori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aiuti alle imprese start-up per le attività non agricole nelle zone rurali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aiuti alle imprese start-up per lo sviluppo delle piccole aziende agricole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nella creazione e nello sviluppo di non</w:t>
            </w:r>
            <w:r w:rsidRPr="00FA2779">
              <w:rPr>
                <w:rFonts w:ascii="Calibri" w:hAnsi="Calibri"/>
                <w:sz w:val="18"/>
                <w:szCs w:val="18"/>
              </w:rPr>
              <w:br/>
              <w:t>agricolo attività</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6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pagamenti agli agricoltori ammissibili al regime per i piccoli agricoltori</w:t>
            </w:r>
            <w:r w:rsidRPr="00FA2779">
              <w:rPr>
                <w:rFonts w:ascii="Calibri" w:hAnsi="Calibri"/>
                <w:sz w:val="18"/>
                <w:szCs w:val="18"/>
              </w:rPr>
              <w:br/>
              <w:t>che trasferire permanentemente la propria azienda ad un altro agricoltore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1275"/>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20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servizi di base e villaggio </w:t>
            </w:r>
            <w:r w:rsidRPr="00FA2779">
              <w:rPr>
                <w:rFonts w:ascii="Calibri" w:hAnsi="Calibri"/>
                <w:sz w:val="18"/>
                <w:szCs w:val="18"/>
              </w:rPr>
              <w:br/>
              <w:t>rinnovamento nelle zone rurali</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7</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l'elaborazione e aggiornamento dei piani per lo sviluppo</w:t>
            </w:r>
            <w:r w:rsidRPr="00FA2779">
              <w:rPr>
                <w:rFonts w:ascii="Calibri" w:hAnsi="Calibri"/>
                <w:sz w:val="18"/>
                <w:szCs w:val="18"/>
              </w:rPr>
              <w:br/>
              <w:t>dei comuni e dei villaggi nelle zone rurali e la loro base servizi e protezione e gestione dei piani relativi alle Siti Natura 2000 e altre aree</w:t>
            </w:r>
            <w:r w:rsidRPr="00FA2779">
              <w:rPr>
                <w:rFonts w:ascii="Calibri" w:hAnsi="Calibri"/>
                <w:sz w:val="18"/>
                <w:szCs w:val="18"/>
              </w:rPr>
              <w:br/>
              <w:t xml:space="preserve"> di grande valore naturale</w:t>
            </w:r>
          </w:p>
        </w:tc>
        <w:tc>
          <w:tcPr>
            <w:tcW w:w="531" w:type="dxa"/>
            <w:shd w:val="clear" w:color="auto" w:fill="auto"/>
            <w:hideMark/>
          </w:tcPr>
          <w:p w:rsidR="00F302B6" w:rsidRPr="00FA2779" w:rsidRDefault="00C1062E" w:rsidP="00F31945">
            <w:pPr>
              <w:tabs>
                <w:tab w:val="left" w:pos="978"/>
              </w:tabs>
              <w:rPr>
                <w:rFonts w:ascii="Calibri" w:hAnsi="Calibri"/>
                <w:sz w:val="18"/>
                <w:szCs w:val="18"/>
              </w:rPr>
            </w:pPr>
            <w:r>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87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nella creazione, miglioramento o espansione di ogni tipo di infrastrutture su piccola scala, tra cui investimenti nelle energie rinnovabili e risparmio energetico</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87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alle infrastrutture a banda larga, tra cui la sua creazione, </w:t>
            </w:r>
            <w:r w:rsidRPr="00FA2779">
              <w:rPr>
                <w:rFonts w:ascii="Calibri" w:hAnsi="Calibri"/>
                <w:sz w:val="18"/>
                <w:szCs w:val="18"/>
              </w:rPr>
              <w:br/>
              <w:t>miglioramento ed espansione, infrastrutture a banda larga passivo</w:t>
            </w:r>
            <w:r w:rsidRPr="00FA2779">
              <w:rPr>
                <w:rFonts w:ascii="Calibri" w:hAnsi="Calibri"/>
                <w:sz w:val="18"/>
                <w:szCs w:val="18"/>
              </w:rPr>
              <w:br/>
              <w:t xml:space="preserve"> e fornitura di accesso a banda larga e pubblico l'e-government</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87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nella creazione, miglioramento</w:t>
            </w:r>
            <w:r w:rsidRPr="00FA2779">
              <w:rPr>
                <w:rFonts w:ascii="Calibri" w:hAnsi="Calibri"/>
                <w:sz w:val="18"/>
                <w:szCs w:val="18"/>
              </w:rPr>
              <w:br/>
              <w:t>o espansione dei servizi di base locali per la popolazione rurale tra</w:t>
            </w:r>
            <w:r w:rsidRPr="00FA2779">
              <w:rPr>
                <w:rFonts w:ascii="Calibri" w:hAnsi="Calibri"/>
                <w:sz w:val="18"/>
                <w:szCs w:val="18"/>
              </w:rPr>
              <w:br/>
              <w:t xml:space="preserve"> cui il tempo libero e la cultura, e delle relative infrastrutture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9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per l'uso pubblico in ricreativo infrastrutture, informazioni turistiche e il turismo su piccola scala infrastruttura</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15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studi / investimenti legati alla manutenzione, restauro</w:t>
            </w:r>
            <w:r w:rsidRPr="00FA2779">
              <w:rPr>
                <w:rFonts w:ascii="Calibri" w:hAnsi="Calibri"/>
                <w:sz w:val="18"/>
                <w:szCs w:val="18"/>
              </w:rPr>
              <w:br/>
              <w:t>e alla riqualificazione del patrimonio culturale e patrimonio naturale</w:t>
            </w:r>
            <w:r w:rsidRPr="00FA2779">
              <w:rPr>
                <w:rFonts w:ascii="Calibri" w:hAnsi="Calibri"/>
                <w:sz w:val="18"/>
                <w:szCs w:val="18"/>
              </w:rPr>
              <w:br/>
              <w:t>di borghi, paesaggi rurali e di alta natura siti di valore che includano</w:t>
            </w:r>
            <w:r w:rsidRPr="00FA2779">
              <w:rPr>
                <w:rFonts w:ascii="Calibri" w:hAnsi="Calibri"/>
                <w:sz w:val="18"/>
                <w:szCs w:val="18"/>
              </w:rPr>
              <w:br/>
              <w:t>aspetti iniziative di sensibilizzazione ambientale socioeconomici</w:t>
            </w:r>
            <w:r w:rsidRPr="00FA2779">
              <w:rPr>
                <w:rFonts w:ascii="Calibri" w:hAnsi="Calibri"/>
                <w:sz w:val="18"/>
                <w:szCs w:val="18"/>
              </w:rPr>
              <w:br/>
              <w:t>connessi, così come  iniziative di sensibilizzazione ambientale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124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E111E6" w:rsidP="00F31945">
            <w:pPr>
              <w:tabs>
                <w:tab w:val="left" w:pos="978"/>
              </w:tabs>
              <w:rPr>
                <w:rFonts w:ascii="Calibri" w:hAnsi="Calibri"/>
                <w:sz w:val="18"/>
                <w:szCs w:val="18"/>
              </w:rPr>
            </w:pPr>
            <w:r>
              <w:rPr>
                <w:rFonts w:ascii="Calibri" w:hAnsi="Calibri"/>
                <w:sz w:val="18"/>
                <w:szCs w:val="18"/>
              </w:rPr>
              <w:t>sostegno agli investimenti mir</w:t>
            </w:r>
            <w:r w:rsidR="00F302B6" w:rsidRPr="00FA2779">
              <w:rPr>
                <w:rFonts w:ascii="Calibri" w:hAnsi="Calibri"/>
                <w:sz w:val="18"/>
                <w:szCs w:val="18"/>
              </w:rPr>
              <w:t>ati al trasferimento di attività e riconversione di edifici o altre strutture situate all'interno o vicino di insediamenti rurali, al fine di migliorare la qualità della vita o migliorare l'efficienza ambientale dell'insediamento</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6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altri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585"/>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lastRenderedPageBreak/>
              <w:t xml:space="preserve">Articolo 21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investimenti in superficie forestale sviluppo e miglioramento della redditività delle foreste.</w:t>
            </w:r>
            <w:r w:rsidRPr="00FA2779">
              <w:rPr>
                <w:rFonts w:ascii="Calibri" w:hAnsi="Calibri"/>
                <w:sz w:val="18"/>
                <w:szCs w:val="18"/>
              </w:rPr>
              <w:br/>
              <w:t xml:space="preserve"> </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8</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l'imboschimento creazione di stabilimento bosco e manutenzione</w:t>
            </w:r>
            <w:r w:rsidRPr="00FA2779">
              <w:rPr>
                <w:rFonts w:ascii="Calibri" w:hAnsi="Calibri"/>
                <w:sz w:val="18"/>
                <w:szCs w:val="18"/>
              </w:rPr>
              <w:br/>
              <w:t xml:space="preserve">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vMerge w:val="restart"/>
            <w:shd w:val="clear" w:color="auto" w:fill="auto"/>
            <w:hideMark/>
          </w:tcPr>
          <w:p w:rsidR="00F302B6" w:rsidRPr="00FA2779" w:rsidRDefault="00F302B6" w:rsidP="00F31945">
            <w:pPr>
              <w:tabs>
                <w:tab w:val="left" w:pos="978"/>
              </w:tabs>
              <w:rPr>
                <w:rFonts w:ascii="Calibri" w:hAnsi="Calibri"/>
                <w:sz w:val="18"/>
                <w:szCs w:val="18"/>
              </w:rPr>
            </w:pPr>
          </w:p>
        </w:tc>
      </w:tr>
      <w:tr w:rsidR="006A4C59" w:rsidRPr="00FA2779" w:rsidTr="00BE7ABC">
        <w:trPr>
          <w:trHeight w:val="360"/>
        </w:trPr>
        <w:tc>
          <w:tcPr>
            <w:tcW w:w="1038" w:type="dxa"/>
            <w:vMerge/>
            <w:shd w:val="clear" w:color="auto" w:fill="auto"/>
            <w:hideMark/>
          </w:tcPr>
          <w:p w:rsidR="006A4C59" w:rsidRPr="00FA2779" w:rsidRDefault="006A4C59" w:rsidP="00F31945">
            <w:pPr>
              <w:tabs>
                <w:tab w:val="left" w:pos="978"/>
              </w:tabs>
              <w:rPr>
                <w:rFonts w:ascii="Calibri" w:hAnsi="Calibri"/>
                <w:sz w:val="18"/>
                <w:szCs w:val="18"/>
              </w:rPr>
            </w:pPr>
          </w:p>
        </w:tc>
        <w:tc>
          <w:tcPr>
            <w:tcW w:w="1901" w:type="dxa"/>
            <w:vMerge/>
            <w:shd w:val="clear" w:color="auto" w:fill="auto"/>
            <w:hideMark/>
          </w:tcPr>
          <w:p w:rsidR="006A4C59" w:rsidRPr="00FA2779" w:rsidRDefault="006A4C59" w:rsidP="00F31945">
            <w:pPr>
              <w:tabs>
                <w:tab w:val="left" w:pos="978"/>
              </w:tabs>
              <w:rPr>
                <w:rFonts w:ascii="Calibri" w:hAnsi="Calibri"/>
                <w:sz w:val="18"/>
                <w:szCs w:val="18"/>
              </w:rPr>
            </w:pPr>
          </w:p>
        </w:tc>
        <w:tc>
          <w:tcPr>
            <w:tcW w:w="715" w:type="dxa"/>
            <w:vMerge/>
            <w:shd w:val="clear" w:color="auto" w:fill="auto"/>
            <w:hideMark/>
          </w:tcPr>
          <w:p w:rsidR="006A4C59" w:rsidRPr="00FA2779" w:rsidRDefault="006A4C59" w:rsidP="00F31945">
            <w:pPr>
              <w:tabs>
                <w:tab w:val="left" w:pos="978"/>
              </w:tabs>
              <w:rPr>
                <w:rFonts w:ascii="Calibri" w:hAnsi="Calibri"/>
                <w:sz w:val="18"/>
                <w:szCs w:val="18"/>
              </w:rPr>
            </w:pPr>
          </w:p>
        </w:tc>
        <w:tc>
          <w:tcPr>
            <w:tcW w:w="3773" w:type="dxa"/>
            <w:gridSpan w:val="2"/>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xml:space="preserve">sostegno per l'istituzione e il mantenimento di sistemi agro-forestali </w:t>
            </w:r>
          </w:p>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Si</w:t>
            </w:r>
          </w:p>
        </w:tc>
        <w:tc>
          <w:tcPr>
            <w:tcW w:w="1896" w:type="dxa"/>
            <w:vMerge/>
            <w:shd w:val="clear" w:color="auto" w:fill="auto"/>
            <w:hideMark/>
          </w:tcPr>
          <w:p w:rsidR="006A4C59" w:rsidRPr="00FA2779" w:rsidRDefault="006A4C59" w:rsidP="00F31945">
            <w:pPr>
              <w:tabs>
                <w:tab w:val="left" w:pos="978"/>
              </w:tabs>
              <w:rPr>
                <w:rFonts w:ascii="Calibri" w:hAnsi="Calibri"/>
                <w:sz w:val="18"/>
                <w:szCs w:val="18"/>
              </w:rPr>
            </w:pPr>
          </w:p>
        </w:tc>
      </w:tr>
      <w:tr w:rsidR="00F302B6" w:rsidRPr="00FA2779" w:rsidTr="00F31945">
        <w:trPr>
          <w:trHeight w:val="63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la prevenzione dei danni alle foreste da incendi boschivi</w:t>
            </w:r>
            <w:r w:rsidRPr="00FA2779">
              <w:rPr>
                <w:rFonts w:ascii="Calibri" w:hAnsi="Calibri"/>
                <w:sz w:val="18"/>
                <w:szCs w:val="18"/>
              </w:rPr>
              <w:br w:type="page"/>
              <w:t xml:space="preserve"> e calamità naturali ed eventi catastrofici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4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il ripristino delle foreste danneggiate da incendi boschivi</w:t>
            </w:r>
            <w:r w:rsidRPr="00FA2779">
              <w:rPr>
                <w:rFonts w:ascii="Calibri" w:hAnsi="Calibri"/>
                <w:sz w:val="18"/>
                <w:szCs w:val="18"/>
              </w:rPr>
              <w:br/>
              <w:t xml:space="preserve"> e calamità naturali ed eventi catastrofici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70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ad accrescere la resilienza e valore</w:t>
            </w:r>
            <w:r w:rsidRPr="00FA2779">
              <w:rPr>
                <w:rFonts w:ascii="Calibri" w:hAnsi="Calibri"/>
                <w:sz w:val="18"/>
                <w:szCs w:val="18"/>
              </w:rPr>
              <w:br/>
              <w:t xml:space="preserve"> ambientale degli ecosistemi forestali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4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agli investimenti in tecnologie silvicole e nella elaborazione,</w:t>
            </w:r>
            <w:r w:rsidRPr="00FA2779">
              <w:rPr>
                <w:rFonts w:ascii="Calibri" w:hAnsi="Calibri"/>
                <w:sz w:val="18"/>
                <w:szCs w:val="18"/>
              </w:rPr>
              <w:br/>
              <w:t>mobilitazione e la commercializzazione dei prodotti forestali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870"/>
        </w:trPr>
        <w:tc>
          <w:tcPr>
            <w:tcW w:w="1038"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Articolo 27</w:t>
            </w:r>
          </w:p>
        </w:tc>
        <w:tc>
          <w:tcPr>
            <w:tcW w:w="190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costituzione di associazioni di </w:t>
            </w:r>
            <w:r w:rsidRPr="00FA2779">
              <w:rPr>
                <w:rFonts w:ascii="Calibri" w:hAnsi="Calibri"/>
                <w:sz w:val="18"/>
                <w:szCs w:val="18"/>
              </w:rPr>
              <w:br/>
              <w:t>produttori e organizzazioni dei settori agricolo e forestale</w:t>
            </w:r>
          </w:p>
        </w:tc>
        <w:tc>
          <w:tcPr>
            <w:tcW w:w="715"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9</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costituzione di associazioni di produttori e organizzazioni dei settori agricolo e forestale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6A4C59" w:rsidRPr="00FA2779" w:rsidTr="00BE7ABC">
        <w:trPr>
          <w:trHeight w:val="375"/>
        </w:trPr>
        <w:tc>
          <w:tcPr>
            <w:tcW w:w="1038" w:type="dxa"/>
            <w:vMerge w:val="restart"/>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xml:space="preserve">Articolo 28 </w:t>
            </w:r>
          </w:p>
        </w:tc>
        <w:tc>
          <w:tcPr>
            <w:tcW w:w="1901" w:type="dxa"/>
            <w:vMerge w:val="restart"/>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xml:space="preserve">agroambientale-clima </w:t>
            </w:r>
          </w:p>
        </w:tc>
        <w:tc>
          <w:tcPr>
            <w:tcW w:w="715" w:type="dxa"/>
            <w:vMerge w:val="restart"/>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10</w:t>
            </w:r>
          </w:p>
        </w:tc>
        <w:tc>
          <w:tcPr>
            <w:tcW w:w="3773" w:type="dxa"/>
            <w:gridSpan w:val="2"/>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xml:space="preserve">pagamento per gli impegni agro-climatico-ambientali </w:t>
            </w:r>
          </w:p>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6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la conservazione e l'uso sostenibile e lo sviluppo</w:t>
            </w:r>
            <w:r w:rsidRPr="00FA2779">
              <w:rPr>
                <w:rFonts w:ascii="Calibri" w:hAnsi="Calibri"/>
                <w:sz w:val="18"/>
                <w:szCs w:val="18"/>
              </w:rPr>
              <w:br/>
              <w:t xml:space="preserve"> delle risorse genetiche in agricoltura</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6A4C59" w:rsidRPr="00FA2779" w:rsidTr="00BE7ABC">
        <w:trPr>
          <w:trHeight w:val="540"/>
        </w:trPr>
        <w:tc>
          <w:tcPr>
            <w:tcW w:w="1038"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xml:space="preserve">Articolo 29 </w:t>
            </w:r>
          </w:p>
        </w:tc>
        <w:tc>
          <w:tcPr>
            <w:tcW w:w="1901"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xml:space="preserve">agricoltura biologica </w:t>
            </w:r>
          </w:p>
        </w:tc>
        <w:tc>
          <w:tcPr>
            <w:tcW w:w="715"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11</w:t>
            </w:r>
          </w:p>
        </w:tc>
        <w:tc>
          <w:tcPr>
            <w:tcW w:w="3773" w:type="dxa"/>
            <w:gridSpan w:val="2"/>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pagamento a convertire in pratiche e metodi di agricoltura biologica</w:t>
            </w:r>
          </w:p>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6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Articolo 30</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Natura 2000 e l'Acqua - Pagamenti direttiva quadro</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12</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pagamento di compensazione per Natura 2000 in zone agricole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6A4C59" w:rsidRPr="00FA2779" w:rsidTr="00BE7ABC">
        <w:trPr>
          <w:trHeight w:val="405"/>
        </w:trPr>
        <w:tc>
          <w:tcPr>
            <w:tcW w:w="1038" w:type="dxa"/>
            <w:vMerge/>
            <w:shd w:val="clear" w:color="auto" w:fill="auto"/>
            <w:hideMark/>
          </w:tcPr>
          <w:p w:rsidR="006A4C59" w:rsidRPr="00FA2779" w:rsidRDefault="006A4C59" w:rsidP="00F31945">
            <w:pPr>
              <w:tabs>
                <w:tab w:val="left" w:pos="978"/>
              </w:tabs>
              <w:rPr>
                <w:rFonts w:ascii="Calibri" w:hAnsi="Calibri"/>
                <w:sz w:val="18"/>
                <w:szCs w:val="18"/>
              </w:rPr>
            </w:pPr>
          </w:p>
        </w:tc>
        <w:tc>
          <w:tcPr>
            <w:tcW w:w="1901" w:type="dxa"/>
            <w:vMerge/>
            <w:shd w:val="clear" w:color="auto" w:fill="auto"/>
            <w:hideMark/>
          </w:tcPr>
          <w:p w:rsidR="006A4C59" w:rsidRPr="00FA2779" w:rsidRDefault="006A4C59" w:rsidP="00F31945">
            <w:pPr>
              <w:tabs>
                <w:tab w:val="left" w:pos="978"/>
              </w:tabs>
              <w:rPr>
                <w:rFonts w:ascii="Calibri" w:hAnsi="Calibri"/>
                <w:sz w:val="18"/>
                <w:szCs w:val="18"/>
              </w:rPr>
            </w:pPr>
          </w:p>
        </w:tc>
        <w:tc>
          <w:tcPr>
            <w:tcW w:w="715" w:type="dxa"/>
            <w:vMerge/>
            <w:shd w:val="clear" w:color="auto" w:fill="auto"/>
            <w:hideMark/>
          </w:tcPr>
          <w:p w:rsidR="006A4C59" w:rsidRPr="00FA2779" w:rsidRDefault="006A4C59" w:rsidP="00F31945">
            <w:pPr>
              <w:tabs>
                <w:tab w:val="left" w:pos="978"/>
              </w:tabs>
              <w:rPr>
                <w:rFonts w:ascii="Calibri" w:hAnsi="Calibri"/>
                <w:sz w:val="18"/>
                <w:szCs w:val="18"/>
              </w:rPr>
            </w:pPr>
          </w:p>
        </w:tc>
        <w:tc>
          <w:tcPr>
            <w:tcW w:w="3773" w:type="dxa"/>
            <w:gridSpan w:val="2"/>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xml:space="preserve">pagamento di compensazione per Natura 2000 in aree forestali </w:t>
            </w:r>
          </w:p>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6A4C59" w:rsidRPr="00FA2779" w:rsidRDefault="006A4C59"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4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pagamento di compensazione per le zone agricole incluse nei fiumi</w:t>
            </w:r>
            <w:r w:rsidRPr="00FA2779">
              <w:rPr>
                <w:rFonts w:ascii="Calibri" w:hAnsi="Calibri"/>
                <w:sz w:val="18"/>
                <w:szCs w:val="18"/>
              </w:rPr>
              <w:br/>
              <w:t xml:space="preserve">piani di gestione dei bacini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E111E6" w:rsidRPr="00FA2779" w:rsidTr="00BE7ABC">
        <w:trPr>
          <w:trHeight w:val="675"/>
        </w:trPr>
        <w:tc>
          <w:tcPr>
            <w:tcW w:w="1038" w:type="dxa"/>
            <w:vMerge w:val="restart"/>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Articolo 31</w:t>
            </w:r>
          </w:p>
        </w:tc>
        <w:tc>
          <w:tcPr>
            <w:tcW w:w="1901" w:type="dxa"/>
            <w:vMerge w:val="restart"/>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pagamenti a zone soggette a vincoli</w:t>
            </w:r>
            <w:r w:rsidRPr="00FA2779">
              <w:rPr>
                <w:rFonts w:ascii="Calibri" w:hAnsi="Calibri"/>
                <w:sz w:val="18"/>
                <w:szCs w:val="18"/>
              </w:rPr>
              <w:br/>
              <w:t xml:space="preserve"> naturali o altri specifici</w:t>
            </w:r>
          </w:p>
        </w:tc>
        <w:tc>
          <w:tcPr>
            <w:tcW w:w="715" w:type="dxa"/>
            <w:vMerge w:val="restart"/>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13</w:t>
            </w:r>
          </w:p>
        </w:tc>
        <w:tc>
          <w:tcPr>
            <w:tcW w:w="3773" w:type="dxa"/>
            <w:gridSpan w:val="2"/>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 xml:space="preserve">Pagamento indennità in zone di montagna </w:t>
            </w:r>
          </w:p>
          <w:p w:rsidR="00E111E6" w:rsidRPr="00FA2779" w:rsidRDefault="00E111E6"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3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pagamento di compensazione per le altre zone con notevoli </w:t>
            </w:r>
            <w:r w:rsidRPr="00FA2779">
              <w:rPr>
                <w:rFonts w:ascii="Calibri" w:hAnsi="Calibri"/>
                <w:sz w:val="18"/>
                <w:szCs w:val="18"/>
              </w:rPr>
              <w:br/>
              <w:t>vincoli naturali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E111E6" w:rsidRPr="00FA2779" w:rsidTr="00BE7ABC">
        <w:trPr>
          <w:trHeight w:val="315"/>
        </w:trPr>
        <w:tc>
          <w:tcPr>
            <w:tcW w:w="1038" w:type="dxa"/>
            <w:vMerge/>
            <w:shd w:val="clear" w:color="auto" w:fill="auto"/>
            <w:hideMark/>
          </w:tcPr>
          <w:p w:rsidR="00E111E6" w:rsidRPr="00FA2779" w:rsidRDefault="00E111E6" w:rsidP="00F31945">
            <w:pPr>
              <w:tabs>
                <w:tab w:val="left" w:pos="978"/>
              </w:tabs>
              <w:rPr>
                <w:rFonts w:ascii="Calibri" w:hAnsi="Calibri"/>
                <w:sz w:val="18"/>
                <w:szCs w:val="18"/>
              </w:rPr>
            </w:pPr>
          </w:p>
        </w:tc>
        <w:tc>
          <w:tcPr>
            <w:tcW w:w="1901" w:type="dxa"/>
            <w:vMerge/>
            <w:shd w:val="clear" w:color="auto" w:fill="auto"/>
            <w:hideMark/>
          </w:tcPr>
          <w:p w:rsidR="00E111E6" w:rsidRPr="00FA2779" w:rsidRDefault="00E111E6" w:rsidP="00F31945">
            <w:pPr>
              <w:tabs>
                <w:tab w:val="left" w:pos="978"/>
              </w:tabs>
              <w:rPr>
                <w:rFonts w:ascii="Calibri" w:hAnsi="Calibri"/>
                <w:sz w:val="18"/>
                <w:szCs w:val="18"/>
              </w:rPr>
            </w:pPr>
          </w:p>
        </w:tc>
        <w:tc>
          <w:tcPr>
            <w:tcW w:w="715" w:type="dxa"/>
            <w:vMerge/>
            <w:shd w:val="clear" w:color="auto" w:fill="auto"/>
            <w:hideMark/>
          </w:tcPr>
          <w:p w:rsidR="00E111E6" w:rsidRPr="00FA2779" w:rsidRDefault="00E111E6" w:rsidP="00F31945">
            <w:pPr>
              <w:tabs>
                <w:tab w:val="left" w:pos="978"/>
              </w:tabs>
              <w:rPr>
                <w:rFonts w:ascii="Calibri" w:hAnsi="Calibri"/>
                <w:sz w:val="18"/>
                <w:szCs w:val="18"/>
              </w:rPr>
            </w:pPr>
          </w:p>
        </w:tc>
        <w:tc>
          <w:tcPr>
            <w:tcW w:w="3773" w:type="dxa"/>
            <w:gridSpan w:val="2"/>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pagamento compensativo ad altre zone colpite da specifici vincoli</w:t>
            </w:r>
          </w:p>
          <w:p w:rsidR="00E111E6" w:rsidRPr="00FA2779" w:rsidRDefault="00E111E6" w:rsidP="00F31945">
            <w:pPr>
              <w:tabs>
                <w:tab w:val="left" w:pos="978"/>
              </w:tabs>
              <w:rPr>
                <w:rFonts w:ascii="Calibri" w:hAnsi="Calibri"/>
                <w:sz w:val="18"/>
                <w:szCs w:val="18"/>
              </w:rPr>
            </w:pPr>
            <w:r w:rsidRPr="00FA2779">
              <w:rPr>
                <w:rFonts w:ascii="Calibri" w:hAnsi="Calibri"/>
                <w:sz w:val="18"/>
                <w:szCs w:val="18"/>
              </w:rPr>
              <w:t> </w:t>
            </w:r>
          </w:p>
        </w:tc>
        <w:tc>
          <w:tcPr>
            <w:tcW w:w="531" w:type="dxa"/>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E111E6" w:rsidRPr="00FA2779" w:rsidRDefault="00E111E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75"/>
        </w:trPr>
        <w:tc>
          <w:tcPr>
            <w:tcW w:w="1038"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Articolo 33</w:t>
            </w:r>
          </w:p>
        </w:tc>
        <w:tc>
          <w:tcPr>
            <w:tcW w:w="190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il benessere degli animali </w:t>
            </w:r>
          </w:p>
        </w:tc>
        <w:tc>
          <w:tcPr>
            <w:tcW w:w="715"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14</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pagamento per il benessere degli animali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3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Articolo 34</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foresta-ambiente e servizi  climatici e conservazione foreste</w:t>
            </w:r>
            <w:r w:rsidRPr="00FA2779">
              <w:rPr>
                <w:rFonts w:ascii="Calibri" w:hAnsi="Calibri"/>
                <w:sz w:val="18"/>
                <w:szCs w:val="18"/>
              </w:rPr>
              <w:br/>
              <w:t xml:space="preserve"> </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15</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pagamento per gli impegni silvoambientali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la conservazione e la promozione delle risorse genetiche</w:t>
            </w:r>
            <w:r w:rsidRPr="00FA2779">
              <w:rPr>
                <w:rFonts w:ascii="Calibri" w:hAnsi="Calibri"/>
                <w:sz w:val="18"/>
                <w:szCs w:val="18"/>
              </w:rPr>
              <w:br/>
              <w:t xml:space="preserve"> forestali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15"/>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35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Cooperazione</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16</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la costituzione di gruppi operativi del Partenariato europeo</w:t>
            </w:r>
            <w:r w:rsidRPr="00FA2779">
              <w:rPr>
                <w:rFonts w:ascii="Calibri" w:hAnsi="Calibri"/>
                <w:sz w:val="18"/>
                <w:szCs w:val="18"/>
              </w:rPr>
              <w:br/>
              <w:t xml:space="preserve">per l'innovazione in materia di produttività e la </w:t>
            </w:r>
            <w:r w:rsidRPr="00FA2779">
              <w:rPr>
                <w:rFonts w:ascii="Calibri" w:hAnsi="Calibri"/>
                <w:sz w:val="18"/>
                <w:szCs w:val="18"/>
              </w:rPr>
              <w:lastRenderedPageBreak/>
              <w:t>sostenibilità</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lastRenderedPageBreak/>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1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 progetti pilota e per lo sviluppo di nuovi prodotti, le pratiche,</w:t>
            </w:r>
            <w:r w:rsidRPr="00FA2779">
              <w:rPr>
                <w:rFonts w:ascii="Calibri" w:hAnsi="Calibri"/>
                <w:sz w:val="18"/>
                <w:szCs w:val="18"/>
              </w:rPr>
              <w:br/>
              <w:t>i processi e le tecnologie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1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la cooperazione tra piccoli operatori in organizzazione del lavoro</w:t>
            </w:r>
            <w:r w:rsidRPr="00FA2779">
              <w:rPr>
                <w:rFonts w:ascii="Calibri" w:hAnsi="Calibri"/>
                <w:sz w:val="18"/>
                <w:szCs w:val="18"/>
              </w:rPr>
              <w:br/>
              <w:t>congiunto processi e servizi in comune e le risorse,</w:t>
            </w:r>
            <w:r w:rsidRPr="00FA2779">
              <w:rPr>
                <w:rFonts w:ascii="Calibri" w:hAnsi="Calibri"/>
                <w:sz w:val="18"/>
                <w:szCs w:val="18"/>
              </w:rPr>
              <w:br/>
              <w:t xml:space="preserve"> e per sviluppo e marketing turistico</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123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alla cooperazione orizzontale e verticale tra fornitura attori</w:t>
            </w:r>
            <w:r w:rsidRPr="00FA2779">
              <w:rPr>
                <w:rFonts w:ascii="Calibri" w:hAnsi="Calibri"/>
                <w:sz w:val="18"/>
                <w:szCs w:val="18"/>
              </w:rPr>
              <w:br w:type="page"/>
              <w:t>della catena per la creazione e lo sviluppo di breve catene di fornitura</w:t>
            </w:r>
            <w:r w:rsidRPr="00FA2779">
              <w:rPr>
                <w:rFonts w:ascii="Calibri" w:hAnsi="Calibri"/>
                <w:sz w:val="18"/>
                <w:szCs w:val="18"/>
              </w:rPr>
              <w:br w:type="page"/>
              <w:t>e dei mercati locali e delle attività di promozionali in locale connesse</w:t>
            </w:r>
            <w:r w:rsidRPr="00FA2779">
              <w:rPr>
                <w:rFonts w:ascii="Calibri" w:hAnsi="Calibri"/>
                <w:sz w:val="18"/>
                <w:szCs w:val="18"/>
              </w:rPr>
              <w:br w:type="page"/>
              <w:t>allo sviluppo di scarsità catene e mercati locali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90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per l'azione congiunta intrapresa al fine di mitigare o adattarsi </w:t>
            </w:r>
            <w:r w:rsidRPr="00FA2779">
              <w:rPr>
                <w:rFonts w:ascii="Calibri" w:hAnsi="Calibri"/>
                <w:sz w:val="18"/>
                <w:szCs w:val="18"/>
              </w:rPr>
              <w:br/>
              <w:t xml:space="preserve">ai cambiamenti climatici e di approcci comuni a progetti ambientali e </w:t>
            </w:r>
            <w:r w:rsidRPr="00FA2779">
              <w:rPr>
                <w:rFonts w:ascii="Calibri" w:hAnsi="Calibri"/>
                <w:sz w:val="18"/>
                <w:szCs w:val="18"/>
              </w:rPr>
              <w:br/>
              <w:t>pratiche ambientali in corso</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103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alla cooperazione tra gli attori della catena di </w:t>
            </w:r>
            <w:r w:rsidRPr="00FA2779">
              <w:rPr>
                <w:rFonts w:ascii="Calibri" w:hAnsi="Calibri"/>
                <w:sz w:val="18"/>
                <w:szCs w:val="18"/>
              </w:rPr>
              <w:br/>
              <w:t xml:space="preserve">approvvigionamento per fornitura sostenibile di biomassa per uso </w:t>
            </w:r>
            <w:r w:rsidRPr="00FA2779">
              <w:rPr>
                <w:rFonts w:ascii="Calibri" w:hAnsi="Calibri"/>
                <w:sz w:val="18"/>
                <w:szCs w:val="18"/>
              </w:rPr>
              <w:br/>
              <w:t>alimentare e di energia processi produttivi e industriali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4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alle strategie non CLLD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supporto per l'elaborazione di piani di gestione forestale o </w:t>
            </w:r>
            <w:r w:rsidRPr="00FA2779">
              <w:rPr>
                <w:rFonts w:ascii="Calibri" w:hAnsi="Calibri"/>
                <w:sz w:val="18"/>
                <w:szCs w:val="18"/>
              </w:rPr>
              <w:br/>
              <w:t>strumenti equivalenti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93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alla diversificazione delle attività agricole in attività per quanto</w:t>
            </w:r>
            <w:r w:rsidRPr="00FA2779">
              <w:rPr>
                <w:rFonts w:ascii="Calibri" w:hAnsi="Calibri"/>
                <w:sz w:val="18"/>
                <w:szCs w:val="18"/>
              </w:rPr>
              <w:br/>
              <w:t>riguarda l'assistenza sanitaria, l'integrazione sociale, community</w:t>
            </w:r>
            <w:r w:rsidR="00E111E6">
              <w:rPr>
                <w:rFonts w:ascii="Calibri" w:hAnsi="Calibri"/>
                <w:sz w:val="18"/>
                <w:szCs w:val="18"/>
              </w:rPr>
              <w:t xml:space="preserve"> </w:t>
            </w:r>
            <w:r w:rsidRPr="00FA2779">
              <w:rPr>
                <w:rFonts w:ascii="Calibri" w:hAnsi="Calibri"/>
                <w:sz w:val="18"/>
                <w:szCs w:val="18"/>
              </w:rPr>
              <w:t>supported</w:t>
            </w:r>
            <w:r w:rsidRPr="00FA2779">
              <w:rPr>
                <w:rFonts w:ascii="Calibri" w:hAnsi="Calibri"/>
                <w:sz w:val="18"/>
                <w:szCs w:val="18"/>
              </w:rPr>
              <w:br/>
              <w:t>agricoltura e istruzione per l'ambiente e cibo</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4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altri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87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36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la gestione del rischio </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17</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raccolto, gli animali e le piante: premio assicurativo</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vMerge w:val="restart"/>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6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fondi comuni di investimento per avversi eventi climatici, animale e </w:t>
            </w:r>
            <w:r w:rsidRPr="00FA2779">
              <w:rPr>
                <w:rFonts w:ascii="Calibri" w:hAnsi="Calibri"/>
                <w:sz w:val="18"/>
                <w:szCs w:val="18"/>
              </w:rPr>
              <w:br/>
              <w:t>vegetale malattie, infestazioni parassitarie e incidenti ambientali</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33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strumento di stabilizzazione del reddito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vMerge/>
            <w:shd w:val="clear" w:color="auto" w:fill="auto"/>
            <w:hideMark/>
          </w:tcPr>
          <w:p w:rsidR="00F302B6" w:rsidRPr="00FA2779" w:rsidRDefault="00F302B6" w:rsidP="00F31945">
            <w:pPr>
              <w:tabs>
                <w:tab w:val="left" w:pos="978"/>
              </w:tabs>
              <w:rPr>
                <w:rFonts w:ascii="Calibri" w:hAnsi="Calibri"/>
                <w:sz w:val="18"/>
                <w:szCs w:val="18"/>
              </w:rPr>
            </w:pPr>
          </w:p>
        </w:tc>
      </w:tr>
      <w:tr w:rsidR="00F302B6" w:rsidRPr="00FA2779" w:rsidTr="00F31945">
        <w:trPr>
          <w:trHeight w:val="930"/>
        </w:trPr>
        <w:tc>
          <w:tcPr>
            <w:tcW w:w="1038"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40 </w:t>
            </w:r>
          </w:p>
        </w:tc>
        <w:tc>
          <w:tcPr>
            <w:tcW w:w="190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finanziamento complementare </w:t>
            </w:r>
            <w:r w:rsidRPr="00FA2779">
              <w:rPr>
                <w:rFonts w:ascii="Calibri" w:hAnsi="Calibri"/>
                <w:sz w:val="18"/>
                <w:szCs w:val="18"/>
              </w:rPr>
              <w:br/>
              <w:t xml:space="preserve">pagamenti nazionali diretti per </w:t>
            </w:r>
            <w:r w:rsidRPr="00FA2779">
              <w:rPr>
                <w:rFonts w:ascii="Calibri" w:hAnsi="Calibri"/>
                <w:sz w:val="18"/>
                <w:szCs w:val="18"/>
              </w:rPr>
              <w:br/>
              <w:t>Croazia</w:t>
            </w:r>
          </w:p>
        </w:tc>
        <w:tc>
          <w:tcPr>
            <w:tcW w:w="715"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18</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finanziamento dei pagamenti diretti nazionali complementari per la Croazia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No</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 </w:t>
            </w:r>
          </w:p>
        </w:tc>
      </w:tr>
      <w:tr w:rsidR="00F302B6" w:rsidRPr="00FA2779" w:rsidTr="00F31945">
        <w:trPr>
          <w:trHeight w:val="675"/>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Articolo 35 </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il supporto per locale LEADER</w:t>
            </w:r>
            <w:r w:rsidRPr="00FA2779">
              <w:rPr>
                <w:rFonts w:ascii="Calibri" w:hAnsi="Calibri"/>
                <w:sz w:val="18"/>
                <w:szCs w:val="18"/>
              </w:rPr>
              <w:br/>
              <w:t>sviluppo (CLLD)</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19</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preparatorio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4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l'attuazione strategica delle operazioni del CLLD</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preparazione e attuazione delle attività di cooperazione della gruppo</w:t>
            </w:r>
            <w:r w:rsidRPr="00FA2779">
              <w:rPr>
                <w:rFonts w:ascii="Calibri" w:hAnsi="Calibri"/>
                <w:sz w:val="18"/>
                <w:szCs w:val="18"/>
              </w:rPr>
              <w:br/>
              <w:t>di azione locale</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420"/>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xml:space="preserve">sostegno per i costi di gestione e di animazione </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600"/>
        </w:trPr>
        <w:tc>
          <w:tcPr>
            <w:tcW w:w="1038"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lastRenderedPageBreak/>
              <w:t xml:space="preserve">Articoli </w:t>
            </w:r>
            <w:r w:rsidRPr="00FA2779">
              <w:rPr>
                <w:rFonts w:ascii="Calibri" w:hAnsi="Calibri"/>
                <w:sz w:val="18"/>
                <w:szCs w:val="18"/>
              </w:rPr>
              <w:br/>
              <w:t>da 51 a 54</w:t>
            </w:r>
          </w:p>
        </w:tc>
        <w:tc>
          <w:tcPr>
            <w:tcW w:w="1901"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assistenza tecnica</w:t>
            </w:r>
          </w:p>
        </w:tc>
        <w:tc>
          <w:tcPr>
            <w:tcW w:w="715" w:type="dxa"/>
            <w:vMerge w:val="restart"/>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20</w:t>
            </w: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l'assistenza tecnica (diversi rurale nazionale Network (NRN)</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r w:rsidR="00F302B6" w:rsidRPr="00FA2779" w:rsidTr="00F31945">
        <w:trPr>
          <w:trHeight w:val="375"/>
        </w:trPr>
        <w:tc>
          <w:tcPr>
            <w:tcW w:w="1038"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1901"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715" w:type="dxa"/>
            <w:vMerge/>
            <w:shd w:val="clear" w:color="auto" w:fill="auto"/>
            <w:hideMark/>
          </w:tcPr>
          <w:p w:rsidR="00F302B6" w:rsidRPr="00FA2779" w:rsidRDefault="00F302B6" w:rsidP="00F31945">
            <w:pPr>
              <w:tabs>
                <w:tab w:val="left" w:pos="978"/>
              </w:tabs>
              <w:rPr>
                <w:rFonts w:ascii="Calibri" w:hAnsi="Calibri"/>
                <w:sz w:val="18"/>
                <w:szCs w:val="18"/>
              </w:rPr>
            </w:pPr>
          </w:p>
        </w:tc>
        <w:tc>
          <w:tcPr>
            <w:tcW w:w="3773" w:type="dxa"/>
            <w:gridSpan w:val="2"/>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sostegno per la costituzione e il funzionamento del RRN</w:t>
            </w:r>
          </w:p>
        </w:tc>
        <w:tc>
          <w:tcPr>
            <w:tcW w:w="531"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Si</w:t>
            </w:r>
          </w:p>
        </w:tc>
        <w:tc>
          <w:tcPr>
            <w:tcW w:w="1896" w:type="dxa"/>
            <w:shd w:val="clear" w:color="auto" w:fill="auto"/>
            <w:hideMark/>
          </w:tcPr>
          <w:p w:rsidR="00F302B6" w:rsidRPr="00FA2779" w:rsidRDefault="00F302B6" w:rsidP="00F31945">
            <w:pPr>
              <w:tabs>
                <w:tab w:val="left" w:pos="978"/>
              </w:tabs>
              <w:rPr>
                <w:rFonts w:ascii="Calibri" w:hAnsi="Calibri"/>
                <w:sz w:val="18"/>
                <w:szCs w:val="18"/>
              </w:rPr>
            </w:pPr>
            <w:r w:rsidRPr="00FA2779">
              <w:rPr>
                <w:rFonts w:ascii="Calibri" w:hAnsi="Calibri"/>
                <w:sz w:val="18"/>
                <w:szCs w:val="18"/>
              </w:rPr>
              <w:t> </w:t>
            </w:r>
          </w:p>
        </w:tc>
      </w:tr>
    </w:tbl>
    <w:p w:rsidR="00C84748" w:rsidRDefault="00C84748" w:rsidP="00EA213D">
      <w:pPr>
        <w:tabs>
          <w:tab w:val="left" w:pos="978"/>
        </w:tabs>
      </w:pPr>
    </w:p>
    <w:p w:rsidR="00C84748" w:rsidRDefault="00C84748" w:rsidP="00EA213D">
      <w:pPr>
        <w:tabs>
          <w:tab w:val="left" w:pos="978"/>
        </w:tabs>
      </w:pPr>
    </w:p>
    <w:p w:rsidR="00C84748" w:rsidRDefault="00C84748" w:rsidP="00EA213D">
      <w:pPr>
        <w:tabs>
          <w:tab w:val="left" w:pos="978"/>
        </w:tabs>
      </w:pPr>
    </w:p>
    <w:p w:rsidR="00C84748" w:rsidRDefault="00C84748" w:rsidP="00EA213D">
      <w:pPr>
        <w:tabs>
          <w:tab w:val="left" w:pos="978"/>
        </w:tabs>
      </w:pPr>
    </w:p>
    <w:p w:rsidR="00C84748" w:rsidRDefault="00C84748" w:rsidP="00EA213D">
      <w:pPr>
        <w:tabs>
          <w:tab w:val="left" w:pos="978"/>
        </w:tabs>
      </w:pPr>
    </w:p>
    <w:sectPr w:rsidR="00C84748" w:rsidSect="006748D2">
      <w:footerReference w:type="even" r:id="rId13"/>
      <w:footerReference w:type="default" r:id="rId14"/>
      <w:headerReference w:type="first" r:id="rId15"/>
      <w:footerReference w:type="first" r:id="rId16"/>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B5" w:rsidRDefault="00DC5AB5">
      <w:r>
        <w:separator/>
      </w:r>
    </w:p>
  </w:endnote>
  <w:endnote w:type="continuationSeparator" w:id="0">
    <w:p w:rsidR="00DC5AB5" w:rsidRDefault="00DC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enda-BoldCondense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elleyAndante BT">
    <w:altName w:val="Mistral"/>
    <w:charset w:val="00"/>
    <w:family w:val="script"/>
    <w:pitch w:val="variable"/>
    <w:sig w:usb0="00000001" w:usb1="00000000" w:usb2="00000000" w:usb3="00000000" w:csb0="0000001B" w:csb1="00000000"/>
  </w:font>
  <w:font w:name="Univers">
    <w:altName w:val="Arial"/>
    <w:charset w:val="00"/>
    <w:family w:val="swiss"/>
    <w:pitch w:val="variable"/>
    <w:sig w:usb0="00000003" w:usb1="00000000" w:usb2="00000000" w:usb3="00000000" w:csb0="00000001" w:csb1="00000000"/>
  </w:font>
  <w:font w:name="AdvTTd832f767">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42" w:rsidRDefault="00E4375C" w:rsidP="00324706">
    <w:pPr>
      <w:pStyle w:val="Pidipagina"/>
      <w:framePr w:wrap="around" w:vAnchor="text" w:hAnchor="margin" w:xAlign="right" w:y="1"/>
      <w:rPr>
        <w:rStyle w:val="Numeropagina"/>
      </w:rPr>
    </w:pPr>
    <w:r>
      <w:rPr>
        <w:rStyle w:val="Numeropagina"/>
      </w:rPr>
      <w:fldChar w:fldCharType="begin"/>
    </w:r>
    <w:r w:rsidR="00A01342">
      <w:rPr>
        <w:rStyle w:val="Numeropagina"/>
      </w:rPr>
      <w:instrText xml:space="preserve">PAGE  </w:instrText>
    </w:r>
    <w:r>
      <w:rPr>
        <w:rStyle w:val="Numeropagina"/>
      </w:rPr>
      <w:fldChar w:fldCharType="end"/>
    </w:r>
  </w:p>
  <w:p w:rsidR="00A01342" w:rsidRDefault="00A01342" w:rsidP="0032470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86498"/>
      <w:docPartObj>
        <w:docPartGallery w:val="Page Numbers (Bottom of Page)"/>
        <w:docPartUnique/>
      </w:docPartObj>
    </w:sdtPr>
    <w:sdtEndPr/>
    <w:sdtContent>
      <w:p w:rsidR="00A01342" w:rsidRDefault="00E4375C">
        <w:pPr>
          <w:pStyle w:val="Pidipagina"/>
          <w:jc w:val="center"/>
        </w:pPr>
        <w:r>
          <w:fldChar w:fldCharType="begin"/>
        </w:r>
        <w:r w:rsidR="00A01342">
          <w:instrText>PAGE   \* MERGEFORMAT</w:instrText>
        </w:r>
        <w:r>
          <w:fldChar w:fldCharType="separate"/>
        </w:r>
        <w:r w:rsidR="00840014">
          <w:rPr>
            <w:noProof/>
          </w:rPr>
          <w:t>2</w:t>
        </w:r>
        <w:r>
          <w:rPr>
            <w:noProof/>
          </w:rPr>
          <w:fldChar w:fldCharType="end"/>
        </w:r>
      </w:p>
    </w:sdtContent>
  </w:sdt>
  <w:p w:rsidR="00A01342" w:rsidRPr="006019E6" w:rsidRDefault="00A01342" w:rsidP="00324706">
    <w:pPr>
      <w:pStyle w:val="Pidipagina"/>
      <w:ind w:right="360"/>
      <w:rPr>
        <w:sz w:val="1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42" w:rsidRPr="006748D2" w:rsidRDefault="00A01342" w:rsidP="006748D2">
    <w:pPr>
      <w:pStyle w:val="Pidipa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B5" w:rsidRDefault="00DC5AB5">
      <w:r>
        <w:separator/>
      </w:r>
    </w:p>
  </w:footnote>
  <w:footnote w:type="continuationSeparator" w:id="0">
    <w:p w:rsidR="00DC5AB5" w:rsidRDefault="00DC5AB5">
      <w:r>
        <w:continuationSeparator/>
      </w:r>
    </w:p>
  </w:footnote>
  <w:footnote w:id="1">
    <w:p w:rsidR="00A01342" w:rsidRDefault="00A01342" w:rsidP="00D643D4">
      <w:pPr>
        <w:pStyle w:val="Testonotaapidipagina"/>
        <w:jc w:val="both"/>
      </w:pPr>
      <w:r>
        <w:rPr>
          <w:rStyle w:val="Rimandonotaapidipagina"/>
        </w:rPr>
        <w:footnoteRef/>
      </w:r>
      <w:r>
        <w:t xml:space="preserve"> L’assistenza rimborsabile è una delle quattro forme di sostegno prevista per i fondi SIE. A differenza della sovvenzione che si prefigura come un aiuto “a fondo perduto”, essa prevede il rimborso, da parte del beneficiario, del sostegno erogato. Tale forma di sostegno è stata utilizzata in alcuni programmi finanziati dai fondi strutturali, per esempio per supportare lo </w:t>
      </w:r>
      <w:r w:rsidRPr="0027112F">
        <w:rPr>
          <w:i/>
        </w:rPr>
        <w:t>start-up</w:t>
      </w:r>
      <w:r>
        <w:t xml:space="preserve"> di imprese innovative.</w:t>
      </w:r>
    </w:p>
  </w:footnote>
  <w:footnote w:id="2">
    <w:p w:rsidR="00A01342" w:rsidRPr="0078405F" w:rsidRDefault="00A01342" w:rsidP="003F310E">
      <w:pPr>
        <w:pStyle w:val="Pidipagina"/>
        <w:rPr>
          <w:sz w:val="18"/>
        </w:rPr>
      </w:pPr>
      <w:r>
        <w:rPr>
          <w:rStyle w:val="Rimandonotaapidipagina"/>
        </w:rPr>
        <w:footnoteRef/>
      </w:r>
      <w:r>
        <w:t xml:space="preserve"> </w:t>
      </w:r>
      <w:r>
        <w:rPr>
          <w:sz w:val="18"/>
        </w:rPr>
        <w:t>I</w:t>
      </w:r>
      <w:r w:rsidRPr="0078405F">
        <w:rPr>
          <w:sz w:val="18"/>
        </w:rPr>
        <w:t>l regolamento in italiano prescrive 31 dicembre 2022, si tratta in realtà di un refuso, essendo la data ultima quella del 31 dicembre 2023, come da versione inglese e come per gli altri fondi.</w:t>
      </w:r>
    </w:p>
    <w:p w:rsidR="00A01342" w:rsidRDefault="00A01342">
      <w:pPr>
        <w:pStyle w:val="Testonotaapidipagina"/>
      </w:pPr>
    </w:p>
  </w:footnote>
  <w:footnote w:id="3">
    <w:p w:rsidR="00A01342" w:rsidRDefault="00A01342">
      <w:pPr>
        <w:pStyle w:val="Testonotaapidipagina"/>
      </w:pPr>
      <w:r>
        <w:rPr>
          <w:rStyle w:val="Rimandonotaapidipagina"/>
        </w:rPr>
        <w:footnoteRef/>
      </w:r>
      <w:r>
        <w:t xml:space="preserve"> A norma della raccomandazione 2003/361/CE</w:t>
      </w:r>
    </w:p>
  </w:footnote>
  <w:footnote w:id="4">
    <w:p w:rsidR="00A01342" w:rsidRDefault="00A01342">
      <w:pPr>
        <w:pStyle w:val="Testonotaapidipagina"/>
      </w:pPr>
      <w:r>
        <w:rPr>
          <w:rStyle w:val="Rimandonotaapidipagina"/>
        </w:rPr>
        <w:footnoteRef/>
      </w:r>
      <w:r>
        <w:t xml:space="preserve"> Ai sensi del Reg. (UE) n. 651/2014</w:t>
      </w:r>
    </w:p>
  </w:footnote>
  <w:footnote w:id="5">
    <w:p w:rsidR="00A01342" w:rsidRDefault="00A01342">
      <w:pPr>
        <w:pStyle w:val="Testonotaapidipagina"/>
      </w:pPr>
      <w:r>
        <w:rPr>
          <w:rStyle w:val="Rimandonotaapidipagina"/>
        </w:rPr>
        <w:footnoteRef/>
      </w:r>
      <w:r>
        <w:t xml:space="preserve"> Documento EGESIF_14-0017, scaricabile dal seguente collegamento: </w:t>
      </w:r>
      <w:r w:rsidRPr="00F36AA2">
        <w:t>http://ec.europa.eu/regional_policy/sources/thefunds/fin_inst/pdf/simpl_cost_it.pdf</w:t>
      </w:r>
    </w:p>
  </w:footnote>
  <w:footnote w:id="6">
    <w:p w:rsidR="00A01342" w:rsidRDefault="00A01342" w:rsidP="00B35878">
      <w:pPr>
        <w:pStyle w:val="Testonotaapidipagina"/>
        <w:jc w:val="both"/>
      </w:pPr>
      <w:r>
        <w:rPr>
          <w:rStyle w:val="Rimandonotaapidipagina"/>
        </w:rPr>
        <w:footnoteRef/>
      </w:r>
      <w:r>
        <w:t xml:space="preserve"> A tal fine, si ritiene utile richiamare il contenuto della circolare dell’Agenzia delle Entrate  n. 34/E del 21/11/2013 “Trattamento agli effetti dell’IVA dei contributi erogati da amministrazioni pubbliche – Criteri generali per la definizione giuridica e tributaria delle erogazioni, da parte delle pubbliche amministrazioni, come contributi o corrispettivi”. In particolare “al fine di accertare se i contributi di cui trattasi costituiscano nella sostanza corrispettivi per prestazioni di servizi, ovvero si configurino come mere elargizioni di somme di denaro per il perseguimento di obiettivi di carattere generale, occorre fare riferimento al concreto assetto degli interessi delle parti” (circolare citata, pag.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42" w:rsidRDefault="00A01342">
    <w:pPr>
      <w:pStyle w:val="Intestazione"/>
    </w:pPr>
    <w:r>
      <w:t>[Digitare il testo]</w:t>
    </w:r>
  </w:p>
  <w:p w:rsidR="00A01342" w:rsidRDefault="00A013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720" w:hanging="360"/>
      </w:pPr>
      <w:rPr>
        <w:rFonts w:hint="default"/>
      </w:rPr>
    </w:lvl>
    <w:lvl w:ilvl="1">
      <w:start w:val="8"/>
      <w:numFmt w:val="decimal"/>
      <w:lvlText w:val="%1.%2"/>
      <w:lvlJc w:val="left"/>
      <w:pPr>
        <w:tabs>
          <w:tab w:val="num" w:pos="0"/>
        </w:tabs>
        <w:ind w:left="900" w:hanging="54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3"/>
    <w:multiLevelType w:val="singleLevel"/>
    <w:tmpl w:val="00000013"/>
    <w:name w:val="WW8Num18"/>
    <w:lvl w:ilvl="0">
      <w:numFmt w:val="bullet"/>
      <w:lvlText w:val="-"/>
      <w:lvlJc w:val="left"/>
      <w:pPr>
        <w:tabs>
          <w:tab w:val="num" w:pos="720"/>
        </w:tabs>
        <w:ind w:left="720" w:hanging="360"/>
      </w:pPr>
      <w:rPr>
        <w:rFonts w:ascii="Agenda-BoldCondensed" w:hAnsi="Agenda-BoldCondensed" w:cs="Agenda-BoldCondensed" w:hint="default"/>
        <w:szCs w:val="28"/>
      </w:rPr>
    </w:lvl>
  </w:abstractNum>
  <w:abstractNum w:abstractNumId="2">
    <w:nsid w:val="00000020"/>
    <w:multiLevelType w:val="singleLevel"/>
    <w:tmpl w:val="00000020"/>
    <w:name w:val="WW8Num3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0000026"/>
    <w:multiLevelType w:val="multilevel"/>
    <w:tmpl w:val="00000026"/>
    <w:name w:val="WW8Num37"/>
    <w:lvl w:ilvl="0">
      <w:start w:val="1"/>
      <w:numFmt w:val="lowerRoman"/>
      <w:lvlText w:val="%1."/>
      <w:lvlJc w:val="right"/>
      <w:pPr>
        <w:tabs>
          <w:tab w:val="num" w:pos="720"/>
        </w:tabs>
        <w:ind w:left="720" w:hanging="360"/>
      </w:pPr>
    </w:lvl>
    <w:lvl w:ilvl="1">
      <w:start w:val="1"/>
      <w:numFmt w:val="decimal"/>
      <w:lvlText w:val="%2."/>
      <w:lvlJc w:val="left"/>
      <w:pPr>
        <w:tabs>
          <w:tab w:val="num" w:pos="708"/>
        </w:tabs>
        <w:ind w:left="1440" w:hanging="360"/>
      </w:pPr>
      <w:rPr>
        <w:rFonts w:hint="default"/>
      </w:rPr>
    </w:lvl>
    <w:lvl w:ilvl="2">
      <w:start w:val="1"/>
      <w:numFmt w:val="lowerLetter"/>
      <w:lvlText w:val="%3)"/>
      <w:lvlJc w:val="left"/>
      <w:pPr>
        <w:tabs>
          <w:tab w:val="num" w:pos="0"/>
        </w:tabs>
        <w:ind w:left="36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AD3EB2"/>
    <w:multiLevelType w:val="hybridMultilevel"/>
    <w:tmpl w:val="E5AE021C"/>
    <w:lvl w:ilvl="0" w:tplc="04100001">
      <w:start w:val="1"/>
      <w:numFmt w:val="bullet"/>
      <w:lvlText w:val=""/>
      <w:lvlJc w:val="left"/>
      <w:pPr>
        <w:tabs>
          <w:tab w:val="num" w:pos="377"/>
        </w:tabs>
        <w:ind w:left="377" w:hanging="360"/>
      </w:pPr>
      <w:rPr>
        <w:rFonts w:ascii="Symbol" w:hAnsi="Symbol" w:hint="default"/>
      </w:rPr>
    </w:lvl>
    <w:lvl w:ilvl="1" w:tplc="B88C4B32">
      <w:start w:val="1"/>
      <w:numFmt w:val="lowerLetter"/>
      <w:lvlText w:val="%2."/>
      <w:lvlJc w:val="left"/>
      <w:pPr>
        <w:tabs>
          <w:tab w:val="num" w:pos="1425"/>
        </w:tabs>
        <w:ind w:left="1425" w:hanging="705"/>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03A339B"/>
    <w:multiLevelType w:val="hybridMultilevel"/>
    <w:tmpl w:val="34806414"/>
    <w:lvl w:ilvl="0" w:tplc="1CC05AB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677CC2"/>
    <w:multiLevelType w:val="hybridMultilevel"/>
    <w:tmpl w:val="04C68B2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AE7B4A"/>
    <w:multiLevelType w:val="hybridMultilevel"/>
    <w:tmpl w:val="32B23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BE5D6B"/>
    <w:multiLevelType w:val="hybridMultilevel"/>
    <w:tmpl w:val="50D43A3C"/>
    <w:lvl w:ilvl="0" w:tplc="04100001">
      <w:start w:val="1"/>
      <w:numFmt w:val="bullet"/>
      <w:lvlText w:val=""/>
      <w:lvlJc w:val="left"/>
      <w:pPr>
        <w:tabs>
          <w:tab w:val="num" w:pos="648"/>
        </w:tabs>
        <w:ind w:left="64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27F3628"/>
    <w:multiLevelType w:val="hybridMultilevel"/>
    <w:tmpl w:val="93CC9D6A"/>
    <w:lvl w:ilvl="0" w:tplc="A5DC6C4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12DD4C88"/>
    <w:multiLevelType w:val="hybridMultilevel"/>
    <w:tmpl w:val="BA5876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41D5780"/>
    <w:multiLevelType w:val="hybridMultilevel"/>
    <w:tmpl w:val="AA62FA60"/>
    <w:lvl w:ilvl="0" w:tplc="04100019">
      <w:start w:val="1"/>
      <w:numFmt w:val="lowerLetter"/>
      <w:lvlText w:val="%1."/>
      <w:lvlJc w:val="left"/>
      <w:pPr>
        <w:tabs>
          <w:tab w:val="num" w:pos="1440"/>
        </w:tabs>
        <w:ind w:left="144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08C5227"/>
    <w:multiLevelType w:val="hybridMultilevel"/>
    <w:tmpl w:val="1786C896"/>
    <w:lvl w:ilvl="0" w:tplc="BDC6F192">
      <w:start w:val="1"/>
      <w:numFmt w:val="low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4">
    <w:nsid w:val="235767FB"/>
    <w:multiLevelType w:val="hybridMultilevel"/>
    <w:tmpl w:val="8FCCFA58"/>
    <w:lvl w:ilvl="0" w:tplc="C5108312">
      <w:numFmt w:val="bullet"/>
      <w:lvlText w:val="-"/>
      <w:lvlJc w:val="left"/>
      <w:pPr>
        <w:ind w:left="720" w:hanging="360"/>
      </w:pPr>
      <w:rPr>
        <w:rFonts w:ascii="Agenda-BoldCondensed" w:eastAsia="Times New Roman" w:hAnsi="Agenda-BoldCondensed" w:cs="Agenda-Bold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6270A"/>
    <w:multiLevelType w:val="hybridMultilevel"/>
    <w:tmpl w:val="04C68B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2B2BB7"/>
    <w:multiLevelType w:val="hybridMultilevel"/>
    <w:tmpl w:val="FC2A7CF4"/>
    <w:lvl w:ilvl="0" w:tplc="813A1E6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63C7C80"/>
    <w:multiLevelType w:val="hybridMultilevel"/>
    <w:tmpl w:val="E24C29D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78D0D09"/>
    <w:multiLevelType w:val="hybridMultilevel"/>
    <w:tmpl w:val="76C03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9A0180E"/>
    <w:multiLevelType w:val="hybridMultilevel"/>
    <w:tmpl w:val="766ED062"/>
    <w:lvl w:ilvl="0" w:tplc="04100001">
      <w:start w:val="1"/>
      <w:numFmt w:val="bullet"/>
      <w:lvlText w:val=""/>
      <w:lvlJc w:val="left"/>
      <w:pPr>
        <w:tabs>
          <w:tab w:val="num" w:pos="360"/>
        </w:tabs>
        <w:ind w:left="360" w:hanging="360"/>
      </w:pPr>
      <w:rPr>
        <w:rFonts w:ascii="Symbol" w:hAnsi="Symbol" w:hint="default"/>
      </w:rPr>
    </w:lvl>
    <w:lvl w:ilvl="1" w:tplc="A31295D8">
      <w:numFmt w:val="bullet"/>
      <w:lvlText w:val=""/>
      <w:lvlJc w:val="left"/>
      <w:pPr>
        <w:tabs>
          <w:tab w:val="num" w:pos="360"/>
        </w:tabs>
        <w:ind w:left="360" w:hanging="360"/>
      </w:pPr>
      <w:rPr>
        <w:rFonts w:ascii="Symbol" w:eastAsia="Times New Roman" w:hAnsi="Symbol" w:cs="Times New Roman" w:hint="default"/>
        <w:color w:val="auto"/>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20">
    <w:nsid w:val="2B517964"/>
    <w:multiLevelType w:val="hybridMultilevel"/>
    <w:tmpl w:val="74380760"/>
    <w:lvl w:ilvl="0" w:tplc="04100001">
      <w:start w:val="1"/>
      <w:numFmt w:val="bullet"/>
      <w:lvlText w:val=""/>
      <w:lvlJc w:val="left"/>
      <w:pPr>
        <w:tabs>
          <w:tab w:val="num" w:pos="737"/>
        </w:tabs>
        <w:ind w:left="737" w:hanging="360"/>
      </w:pPr>
      <w:rPr>
        <w:rFonts w:ascii="Symbol" w:hAnsi="Symbol" w:hint="default"/>
      </w:rPr>
    </w:lvl>
    <w:lvl w:ilvl="1" w:tplc="B88C4B32">
      <w:start w:val="1"/>
      <w:numFmt w:val="lowerLetter"/>
      <w:lvlText w:val="%2."/>
      <w:lvlJc w:val="left"/>
      <w:pPr>
        <w:tabs>
          <w:tab w:val="num" w:pos="1785"/>
        </w:tabs>
        <w:ind w:left="1785" w:hanging="705"/>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F807549"/>
    <w:multiLevelType w:val="hybridMultilevel"/>
    <w:tmpl w:val="7F0C80FC"/>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2">
    <w:nsid w:val="30D80A6A"/>
    <w:multiLevelType w:val="hybridMultilevel"/>
    <w:tmpl w:val="658AC67A"/>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3">
    <w:nsid w:val="315967AE"/>
    <w:multiLevelType w:val="hybridMultilevel"/>
    <w:tmpl w:val="BAA856AC"/>
    <w:lvl w:ilvl="0" w:tplc="C5108312">
      <w:numFmt w:val="bullet"/>
      <w:lvlText w:val="-"/>
      <w:lvlJc w:val="left"/>
      <w:pPr>
        <w:tabs>
          <w:tab w:val="num" w:pos="720"/>
        </w:tabs>
        <w:ind w:left="720" w:hanging="360"/>
      </w:pPr>
      <w:rPr>
        <w:rFonts w:ascii="Agenda-BoldCondensed" w:eastAsia="Times New Roman" w:hAnsi="Agenda-BoldCondensed" w:cs="Agenda-BoldCondensed"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8C76E80"/>
    <w:multiLevelType w:val="hybridMultilevel"/>
    <w:tmpl w:val="5C42DC0A"/>
    <w:lvl w:ilvl="0" w:tplc="04100019">
      <w:start w:val="1"/>
      <w:numFmt w:val="lowerLetter"/>
      <w:lvlText w:val="%1."/>
      <w:lvlJc w:val="left"/>
      <w:pPr>
        <w:tabs>
          <w:tab w:val="num" w:pos="540"/>
        </w:tabs>
        <w:ind w:left="540" w:hanging="360"/>
      </w:p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nsid w:val="3942533C"/>
    <w:multiLevelType w:val="hybridMultilevel"/>
    <w:tmpl w:val="87904A3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C9D05F6"/>
    <w:multiLevelType w:val="hybridMultilevel"/>
    <w:tmpl w:val="B1884F0E"/>
    <w:lvl w:ilvl="0" w:tplc="04100001">
      <w:start w:val="1"/>
      <w:numFmt w:val="bullet"/>
      <w:lvlText w:val=""/>
      <w:lvlJc w:val="left"/>
      <w:pPr>
        <w:tabs>
          <w:tab w:val="num" w:pos="737"/>
        </w:tabs>
        <w:ind w:left="737"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005395F"/>
    <w:multiLevelType w:val="hybridMultilevel"/>
    <w:tmpl w:val="614E7E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32348BE"/>
    <w:multiLevelType w:val="hybridMultilevel"/>
    <w:tmpl w:val="1B9A2D68"/>
    <w:lvl w:ilvl="0" w:tplc="4884855E">
      <w:start w:val="1"/>
      <w:numFmt w:val="decimal"/>
      <w:lvlText w:val="%1."/>
      <w:lvlJc w:val="left"/>
      <w:pPr>
        <w:tabs>
          <w:tab w:val="num" w:pos="720"/>
        </w:tabs>
        <w:ind w:left="720" w:hanging="360"/>
      </w:pPr>
    </w:lvl>
    <w:lvl w:ilvl="1" w:tplc="D3422AF2">
      <w:numFmt w:val="none"/>
      <w:lvlText w:val=""/>
      <w:lvlJc w:val="left"/>
      <w:pPr>
        <w:tabs>
          <w:tab w:val="num" w:pos="360"/>
        </w:tabs>
      </w:pPr>
    </w:lvl>
    <w:lvl w:ilvl="2" w:tplc="EFD8CFDA">
      <w:numFmt w:val="none"/>
      <w:lvlText w:val=""/>
      <w:lvlJc w:val="left"/>
      <w:pPr>
        <w:tabs>
          <w:tab w:val="num" w:pos="360"/>
        </w:tabs>
      </w:pPr>
    </w:lvl>
    <w:lvl w:ilvl="3" w:tplc="6216615E">
      <w:numFmt w:val="none"/>
      <w:lvlText w:val=""/>
      <w:lvlJc w:val="left"/>
      <w:pPr>
        <w:tabs>
          <w:tab w:val="num" w:pos="360"/>
        </w:tabs>
      </w:pPr>
    </w:lvl>
    <w:lvl w:ilvl="4" w:tplc="C81670F6">
      <w:numFmt w:val="none"/>
      <w:lvlText w:val=""/>
      <w:lvlJc w:val="left"/>
      <w:pPr>
        <w:tabs>
          <w:tab w:val="num" w:pos="360"/>
        </w:tabs>
      </w:pPr>
    </w:lvl>
    <w:lvl w:ilvl="5" w:tplc="16F6199C">
      <w:numFmt w:val="none"/>
      <w:lvlText w:val=""/>
      <w:lvlJc w:val="left"/>
      <w:pPr>
        <w:tabs>
          <w:tab w:val="num" w:pos="360"/>
        </w:tabs>
      </w:pPr>
    </w:lvl>
    <w:lvl w:ilvl="6" w:tplc="E2D48920">
      <w:numFmt w:val="none"/>
      <w:lvlText w:val=""/>
      <w:lvlJc w:val="left"/>
      <w:pPr>
        <w:tabs>
          <w:tab w:val="num" w:pos="360"/>
        </w:tabs>
      </w:pPr>
    </w:lvl>
    <w:lvl w:ilvl="7" w:tplc="F9ACE784">
      <w:numFmt w:val="none"/>
      <w:lvlText w:val=""/>
      <w:lvlJc w:val="left"/>
      <w:pPr>
        <w:tabs>
          <w:tab w:val="num" w:pos="360"/>
        </w:tabs>
      </w:pPr>
    </w:lvl>
    <w:lvl w:ilvl="8" w:tplc="4886A7D4">
      <w:numFmt w:val="none"/>
      <w:lvlText w:val=""/>
      <w:lvlJc w:val="left"/>
      <w:pPr>
        <w:tabs>
          <w:tab w:val="num" w:pos="360"/>
        </w:tabs>
      </w:pPr>
    </w:lvl>
  </w:abstractNum>
  <w:abstractNum w:abstractNumId="29">
    <w:nsid w:val="46097D91"/>
    <w:multiLevelType w:val="hybridMultilevel"/>
    <w:tmpl w:val="FA60DCE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92D156A"/>
    <w:multiLevelType w:val="hybridMultilevel"/>
    <w:tmpl w:val="6CFA18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A932A8F"/>
    <w:multiLevelType w:val="hybridMultilevel"/>
    <w:tmpl w:val="E296293C"/>
    <w:lvl w:ilvl="0" w:tplc="04100019">
      <w:start w:val="1"/>
      <w:numFmt w:val="lowerLetter"/>
      <w:lvlText w:val="%1."/>
      <w:lvlJc w:val="left"/>
      <w:pPr>
        <w:tabs>
          <w:tab w:val="num" w:pos="540"/>
        </w:tabs>
        <w:ind w:left="540" w:hanging="360"/>
      </w:pPr>
    </w:lvl>
    <w:lvl w:ilvl="1" w:tplc="04100003" w:tentative="1">
      <w:start w:val="1"/>
      <w:numFmt w:val="bullet"/>
      <w:lvlText w:val="o"/>
      <w:lvlJc w:val="left"/>
      <w:pPr>
        <w:tabs>
          <w:tab w:val="num" w:pos="1520"/>
        </w:tabs>
        <w:ind w:left="1520" w:hanging="360"/>
      </w:pPr>
      <w:rPr>
        <w:rFonts w:ascii="Courier New" w:hAnsi="Courier New" w:cs="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cs="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cs="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32">
    <w:nsid w:val="4B3D1C54"/>
    <w:multiLevelType w:val="hybridMultilevel"/>
    <w:tmpl w:val="50C064B8"/>
    <w:lvl w:ilvl="0" w:tplc="04100001">
      <w:start w:val="1"/>
      <w:numFmt w:val="bullet"/>
      <w:lvlText w:val=""/>
      <w:lvlJc w:val="left"/>
      <w:pPr>
        <w:tabs>
          <w:tab w:val="num" w:pos="644"/>
        </w:tabs>
        <w:ind w:left="644"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4BD9008D"/>
    <w:multiLevelType w:val="hybridMultilevel"/>
    <w:tmpl w:val="9886D28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nsid w:val="4D2A173B"/>
    <w:multiLevelType w:val="hybridMultilevel"/>
    <w:tmpl w:val="37E818FC"/>
    <w:lvl w:ilvl="0" w:tplc="C8DAEE8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4F040CAF"/>
    <w:multiLevelType w:val="hybridMultilevel"/>
    <w:tmpl w:val="7D92E5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1224A8E"/>
    <w:multiLevelType w:val="hybridMultilevel"/>
    <w:tmpl w:val="D720A496"/>
    <w:lvl w:ilvl="0" w:tplc="5A968D1A">
      <w:start w:val="1"/>
      <w:numFmt w:val="lowerLetter"/>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8730007"/>
    <w:multiLevelType w:val="hybridMultilevel"/>
    <w:tmpl w:val="1BA014AE"/>
    <w:lvl w:ilvl="0" w:tplc="ABFC591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8E468A6"/>
    <w:multiLevelType w:val="hybridMultilevel"/>
    <w:tmpl w:val="5E1CED7A"/>
    <w:lvl w:ilvl="0" w:tplc="5EAC652E">
      <w:start w:val="1"/>
      <w:numFmt w:val="decimal"/>
      <w:lvlText w:val="%1)"/>
      <w:lvlJc w:val="left"/>
      <w:pPr>
        <w:ind w:left="720" w:hanging="360"/>
      </w:pPr>
      <w:rPr>
        <w:rFonts w:hint="default"/>
        <w:b/>
      </w:rPr>
    </w:lvl>
    <w:lvl w:ilvl="1" w:tplc="C89ED9C0">
      <w:start w:val="2"/>
      <w:numFmt w:val="lowerLetter"/>
      <w:lvlText w:val="%2."/>
      <w:lvlJc w:val="left"/>
      <w:pPr>
        <w:ind w:left="1495"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A78640B"/>
    <w:multiLevelType w:val="hybridMultilevel"/>
    <w:tmpl w:val="6BF645FA"/>
    <w:lvl w:ilvl="0" w:tplc="D99AA414">
      <w:start w:val="2"/>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7260384C">
      <w:start w:val="1"/>
      <w:numFmt w:val="decimal"/>
      <w:lvlText w:val="%3)"/>
      <w:lvlJc w:val="left"/>
      <w:pPr>
        <w:ind w:left="2340" w:hanging="360"/>
      </w:pPr>
      <w:rPr>
        <w:rFonts w:hint="default"/>
      </w:rPr>
    </w:lvl>
    <w:lvl w:ilvl="3" w:tplc="04326ADA">
      <w:start w:val="1"/>
      <w:numFmt w:val="lowerLetter"/>
      <w:lvlText w:val="%4."/>
      <w:lvlJc w:val="left"/>
      <w:pPr>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5BEB0407"/>
    <w:multiLevelType w:val="hybridMultilevel"/>
    <w:tmpl w:val="74DA663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5DE44EEE"/>
    <w:multiLevelType w:val="hybridMultilevel"/>
    <w:tmpl w:val="A6EADE08"/>
    <w:lvl w:ilvl="0" w:tplc="04100001">
      <w:start w:val="1"/>
      <w:numFmt w:val="bullet"/>
      <w:lvlText w:val=""/>
      <w:lvlJc w:val="left"/>
      <w:pPr>
        <w:tabs>
          <w:tab w:val="num" w:pos="737"/>
        </w:tabs>
        <w:ind w:left="737" w:hanging="360"/>
      </w:pPr>
      <w:rPr>
        <w:rFonts w:ascii="Symbol" w:hAnsi="Symbol" w:hint="default"/>
      </w:rPr>
    </w:lvl>
    <w:lvl w:ilvl="1" w:tplc="04100003" w:tentative="1">
      <w:start w:val="1"/>
      <w:numFmt w:val="bullet"/>
      <w:lvlText w:val="o"/>
      <w:lvlJc w:val="left"/>
      <w:pPr>
        <w:tabs>
          <w:tab w:val="num" w:pos="1457"/>
        </w:tabs>
        <w:ind w:left="1457" w:hanging="360"/>
      </w:pPr>
      <w:rPr>
        <w:rFonts w:ascii="Courier New" w:hAnsi="Courier New" w:cs="Courier New" w:hint="default"/>
      </w:rPr>
    </w:lvl>
    <w:lvl w:ilvl="2" w:tplc="04100005" w:tentative="1">
      <w:start w:val="1"/>
      <w:numFmt w:val="bullet"/>
      <w:lvlText w:val=""/>
      <w:lvlJc w:val="left"/>
      <w:pPr>
        <w:tabs>
          <w:tab w:val="num" w:pos="2177"/>
        </w:tabs>
        <w:ind w:left="2177" w:hanging="360"/>
      </w:pPr>
      <w:rPr>
        <w:rFonts w:ascii="Wingdings" w:hAnsi="Wingdings" w:hint="default"/>
      </w:rPr>
    </w:lvl>
    <w:lvl w:ilvl="3" w:tplc="04100001" w:tentative="1">
      <w:start w:val="1"/>
      <w:numFmt w:val="bullet"/>
      <w:lvlText w:val=""/>
      <w:lvlJc w:val="left"/>
      <w:pPr>
        <w:tabs>
          <w:tab w:val="num" w:pos="2897"/>
        </w:tabs>
        <w:ind w:left="2897" w:hanging="360"/>
      </w:pPr>
      <w:rPr>
        <w:rFonts w:ascii="Symbol" w:hAnsi="Symbol" w:hint="default"/>
      </w:rPr>
    </w:lvl>
    <w:lvl w:ilvl="4" w:tplc="04100003" w:tentative="1">
      <w:start w:val="1"/>
      <w:numFmt w:val="bullet"/>
      <w:lvlText w:val="o"/>
      <w:lvlJc w:val="left"/>
      <w:pPr>
        <w:tabs>
          <w:tab w:val="num" w:pos="3617"/>
        </w:tabs>
        <w:ind w:left="3617" w:hanging="360"/>
      </w:pPr>
      <w:rPr>
        <w:rFonts w:ascii="Courier New" w:hAnsi="Courier New" w:cs="Courier New" w:hint="default"/>
      </w:rPr>
    </w:lvl>
    <w:lvl w:ilvl="5" w:tplc="04100005" w:tentative="1">
      <w:start w:val="1"/>
      <w:numFmt w:val="bullet"/>
      <w:lvlText w:val=""/>
      <w:lvlJc w:val="left"/>
      <w:pPr>
        <w:tabs>
          <w:tab w:val="num" w:pos="4337"/>
        </w:tabs>
        <w:ind w:left="4337" w:hanging="360"/>
      </w:pPr>
      <w:rPr>
        <w:rFonts w:ascii="Wingdings" w:hAnsi="Wingdings" w:hint="default"/>
      </w:rPr>
    </w:lvl>
    <w:lvl w:ilvl="6" w:tplc="04100001" w:tentative="1">
      <w:start w:val="1"/>
      <w:numFmt w:val="bullet"/>
      <w:lvlText w:val=""/>
      <w:lvlJc w:val="left"/>
      <w:pPr>
        <w:tabs>
          <w:tab w:val="num" w:pos="5057"/>
        </w:tabs>
        <w:ind w:left="5057" w:hanging="360"/>
      </w:pPr>
      <w:rPr>
        <w:rFonts w:ascii="Symbol" w:hAnsi="Symbol" w:hint="default"/>
      </w:rPr>
    </w:lvl>
    <w:lvl w:ilvl="7" w:tplc="04100003" w:tentative="1">
      <w:start w:val="1"/>
      <w:numFmt w:val="bullet"/>
      <w:lvlText w:val="o"/>
      <w:lvlJc w:val="left"/>
      <w:pPr>
        <w:tabs>
          <w:tab w:val="num" w:pos="5777"/>
        </w:tabs>
        <w:ind w:left="5777" w:hanging="360"/>
      </w:pPr>
      <w:rPr>
        <w:rFonts w:ascii="Courier New" w:hAnsi="Courier New" w:cs="Courier New" w:hint="default"/>
      </w:rPr>
    </w:lvl>
    <w:lvl w:ilvl="8" w:tplc="04100005" w:tentative="1">
      <w:start w:val="1"/>
      <w:numFmt w:val="bullet"/>
      <w:lvlText w:val=""/>
      <w:lvlJc w:val="left"/>
      <w:pPr>
        <w:tabs>
          <w:tab w:val="num" w:pos="6497"/>
        </w:tabs>
        <w:ind w:left="6497" w:hanging="360"/>
      </w:pPr>
      <w:rPr>
        <w:rFonts w:ascii="Wingdings" w:hAnsi="Wingdings" w:hint="default"/>
      </w:rPr>
    </w:lvl>
  </w:abstractNum>
  <w:abstractNum w:abstractNumId="42">
    <w:nsid w:val="5E9E1A8C"/>
    <w:multiLevelType w:val="hybridMultilevel"/>
    <w:tmpl w:val="66E28D14"/>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3">
    <w:nsid w:val="60530A41"/>
    <w:multiLevelType w:val="hybridMultilevel"/>
    <w:tmpl w:val="04825B2A"/>
    <w:lvl w:ilvl="0" w:tplc="0410001B">
      <w:start w:val="1"/>
      <w:numFmt w:val="lowerRoman"/>
      <w:lvlText w:val="%1."/>
      <w:lvlJc w:val="right"/>
      <w:pPr>
        <w:tabs>
          <w:tab w:val="num" w:pos="720"/>
        </w:tabs>
        <w:ind w:left="720" w:hanging="360"/>
      </w:pPr>
    </w:lvl>
    <w:lvl w:ilvl="1" w:tplc="74568CE8">
      <w:start w:val="1"/>
      <w:numFmt w:val="decimal"/>
      <w:lvlText w:val="%2."/>
      <w:lvlJc w:val="left"/>
      <w:pPr>
        <w:tabs>
          <w:tab w:val="num" w:pos="1440"/>
        </w:tabs>
        <w:ind w:left="1440" w:hanging="360"/>
      </w:pPr>
      <w:rPr>
        <w:rFonts w:hint="default"/>
      </w:rPr>
    </w:lvl>
    <w:lvl w:ilvl="2" w:tplc="04100017">
      <w:start w:val="1"/>
      <w:numFmt w:val="lowerLetter"/>
      <w:lvlText w:val="%3)"/>
      <w:lvlJc w:val="left"/>
      <w:pPr>
        <w:ind w:left="360" w:hanging="360"/>
      </w:pPr>
      <w:rPr>
        <w:rFonts w:hint="default"/>
      </w:rPr>
    </w:lvl>
    <w:lvl w:ilvl="3" w:tplc="F80C896E">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64263F95"/>
    <w:multiLevelType w:val="hybridMultilevel"/>
    <w:tmpl w:val="D9785C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648E59FF"/>
    <w:multiLevelType w:val="hybridMultilevel"/>
    <w:tmpl w:val="BEDEFB80"/>
    <w:lvl w:ilvl="0" w:tplc="C5108312">
      <w:numFmt w:val="bullet"/>
      <w:lvlText w:val="-"/>
      <w:lvlJc w:val="left"/>
      <w:pPr>
        <w:ind w:left="720" w:hanging="360"/>
      </w:pPr>
      <w:rPr>
        <w:rFonts w:ascii="Agenda-BoldCondensed" w:eastAsia="Times New Roman" w:hAnsi="Agenda-BoldCondensed" w:cs="Agenda-Bold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AA80606"/>
    <w:multiLevelType w:val="hybridMultilevel"/>
    <w:tmpl w:val="74DA66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6C567EC8"/>
    <w:multiLevelType w:val="hybridMultilevel"/>
    <w:tmpl w:val="1A381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DE64F0C"/>
    <w:multiLevelType w:val="hybridMultilevel"/>
    <w:tmpl w:val="6944D6D0"/>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49">
    <w:nsid w:val="76945278"/>
    <w:multiLevelType w:val="hybridMultilevel"/>
    <w:tmpl w:val="1BA014AE"/>
    <w:lvl w:ilvl="0" w:tplc="ABFC591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90A4178"/>
    <w:multiLevelType w:val="hybridMultilevel"/>
    <w:tmpl w:val="006A3556"/>
    <w:lvl w:ilvl="0" w:tplc="2748498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1">
    <w:nsid w:val="7AA01D64"/>
    <w:multiLevelType w:val="hybridMultilevel"/>
    <w:tmpl w:val="59A0E20C"/>
    <w:lvl w:ilvl="0" w:tplc="04100019">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7BDC7D4E"/>
    <w:multiLevelType w:val="hybridMultilevel"/>
    <w:tmpl w:val="E048AF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7CC13EEC"/>
    <w:multiLevelType w:val="hybridMultilevel"/>
    <w:tmpl w:val="A1CEEE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9"/>
  </w:num>
  <w:num w:numId="2">
    <w:abstractNumId w:val="3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43"/>
  </w:num>
  <w:num w:numId="7">
    <w:abstractNumId w:val="24"/>
  </w:num>
  <w:num w:numId="8">
    <w:abstractNumId w:val="51"/>
  </w:num>
  <w:num w:numId="9">
    <w:abstractNumId w:val="19"/>
  </w:num>
  <w:num w:numId="10">
    <w:abstractNumId w:val="35"/>
  </w:num>
  <w:num w:numId="11">
    <w:abstractNumId w:val="12"/>
  </w:num>
  <w:num w:numId="12">
    <w:abstractNumId w:val="32"/>
  </w:num>
  <w:num w:numId="13">
    <w:abstractNumId w:val="25"/>
  </w:num>
  <w:num w:numId="14">
    <w:abstractNumId w:val="9"/>
  </w:num>
  <w:num w:numId="15">
    <w:abstractNumId w:val="48"/>
  </w:num>
  <w:num w:numId="16">
    <w:abstractNumId w:val="44"/>
  </w:num>
  <w:num w:numId="17">
    <w:abstractNumId w:val="41"/>
  </w:num>
  <w:num w:numId="18">
    <w:abstractNumId w:val="20"/>
  </w:num>
  <w:num w:numId="19">
    <w:abstractNumId w:val="4"/>
  </w:num>
  <w:num w:numId="20">
    <w:abstractNumId w:val="52"/>
  </w:num>
  <w:num w:numId="21">
    <w:abstractNumId w:val="17"/>
  </w:num>
  <w:num w:numId="22">
    <w:abstractNumId w:val="11"/>
  </w:num>
  <w:num w:numId="23">
    <w:abstractNumId w:val="26"/>
  </w:num>
  <w:num w:numId="24">
    <w:abstractNumId w:val="13"/>
  </w:num>
  <w:num w:numId="25">
    <w:abstractNumId w:val="16"/>
  </w:num>
  <w:num w:numId="26">
    <w:abstractNumId w:val="38"/>
  </w:num>
  <w:num w:numId="27">
    <w:abstractNumId w:val="36"/>
  </w:num>
  <w:num w:numId="28">
    <w:abstractNumId w:val="47"/>
  </w:num>
  <w:num w:numId="29">
    <w:abstractNumId w:val="18"/>
  </w:num>
  <w:num w:numId="30">
    <w:abstractNumId w:val="42"/>
  </w:num>
  <w:num w:numId="31">
    <w:abstractNumId w:val="5"/>
  </w:num>
  <w:num w:numId="32">
    <w:abstractNumId w:val="10"/>
  </w:num>
  <w:num w:numId="33">
    <w:abstractNumId w:val="53"/>
  </w:num>
  <w:num w:numId="34">
    <w:abstractNumId w:val="15"/>
  </w:num>
  <w:num w:numId="35">
    <w:abstractNumId w:val="6"/>
  </w:num>
  <w:num w:numId="36">
    <w:abstractNumId w:val="30"/>
  </w:num>
  <w:num w:numId="37">
    <w:abstractNumId w:val="49"/>
  </w:num>
  <w:num w:numId="38">
    <w:abstractNumId w:val="37"/>
  </w:num>
  <w:num w:numId="39">
    <w:abstractNumId w:val="50"/>
  </w:num>
  <w:num w:numId="40">
    <w:abstractNumId w:val="33"/>
  </w:num>
  <w:num w:numId="41">
    <w:abstractNumId w:val="21"/>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0"/>
  </w:num>
  <w:num w:numId="45">
    <w:abstractNumId w:val="1"/>
  </w:num>
  <w:num w:numId="46">
    <w:abstractNumId w:val="2"/>
  </w:num>
  <w:num w:numId="47">
    <w:abstractNumId w:val="3"/>
  </w:num>
  <w:num w:numId="48">
    <w:abstractNumId w:val="22"/>
  </w:num>
  <w:num w:numId="49">
    <w:abstractNumId w:val="8"/>
  </w:num>
  <w:num w:numId="50">
    <w:abstractNumId w:val="29"/>
  </w:num>
  <w:num w:numId="51">
    <w:abstractNumId w:val="7"/>
  </w:num>
  <w:num w:numId="52">
    <w:abstractNumId w:val="27"/>
  </w:num>
  <w:num w:numId="53">
    <w:abstractNumId w:val="45"/>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636B9"/>
    <w:rsid w:val="00001101"/>
    <w:rsid w:val="000011ED"/>
    <w:rsid w:val="0000174D"/>
    <w:rsid w:val="00001923"/>
    <w:rsid w:val="000037CE"/>
    <w:rsid w:val="000057F2"/>
    <w:rsid w:val="0000595D"/>
    <w:rsid w:val="0000676A"/>
    <w:rsid w:val="000074A7"/>
    <w:rsid w:val="00007886"/>
    <w:rsid w:val="00011411"/>
    <w:rsid w:val="000129D8"/>
    <w:rsid w:val="00012B87"/>
    <w:rsid w:val="00013267"/>
    <w:rsid w:val="000138CA"/>
    <w:rsid w:val="00014698"/>
    <w:rsid w:val="00016F20"/>
    <w:rsid w:val="000172CA"/>
    <w:rsid w:val="00017F10"/>
    <w:rsid w:val="00020D55"/>
    <w:rsid w:val="00021618"/>
    <w:rsid w:val="000235C2"/>
    <w:rsid w:val="00024057"/>
    <w:rsid w:val="00026AA2"/>
    <w:rsid w:val="00026DC9"/>
    <w:rsid w:val="000276B3"/>
    <w:rsid w:val="00030BB8"/>
    <w:rsid w:val="00030D9B"/>
    <w:rsid w:val="00031BB8"/>
    <w:rsid w:val="000325C7"/>
    <w:rsid w:val="00032C64"/>
    <w:rsid w:val="00032C67"/>
    <w:rsid w:val="00032D8E"/>
    <w:rsid w:val="00034AE7"/>
    <w:rsid w:val="0003535C"/>
    <w:rsid w:val="00035809"/>
    <w:rsid w:val="00035F69"/>
    <w:rsid w:val="00040A3B"/>
    <w:rsid w:val="00041AE9"/>
    <w:rsid w:val="00041BC7"/>
    <w:rsid w:val="00041E65"/>
    <w:rsid w:val="0004265A"/>
    <w:rsid w:val="00043C2F"/>
    <w:rsid w:val="00043CD1"/>
    <w:rsid w:val="0004402A"/>
    <w:rsid w:val="00044158"/>
    <w:rsid w:val="00044370"/>
    <w:rsid w:val="00044A88"/>
    <w:rsid w:val="0004602C"/>
    <w:rsid w:val="0005013E"/>
    <w:rsid w:val="00050234"/>
    <w:rsid w:val="000531EE"/>
    <w:rsid w:val="000552C9"/>
    <w:rsid w:val="000553B1"/>
    <w:rsid w:val="000563E6"/>
    <w:rsid w:val="00056638"/>
    <w:rsid w:val="000567E6"/>
    <w:rsid w:val="000568E8"/>
    <w:rsid w:val="00056C28"/>
    <w:rsid w:val="00057904"/>
    <w:rsid w:val="00057FCE"/>
    <w:rsid w:val="00061971"/>
    <w:rsid w:val="000623DD"/>
    <w:rsid w:val="00062B17"/>
    <w:rsid w:val="00062FAF"/>
    <w:rsid w:val="000645CD"/>
    <w:rsid w:val="00065373"/>
    <w:rsid w:val="00066D1E"/>
    <w:rsid w:val="000707A9"/>
    <w:rsid w:val="00071333"/>
    <w:rsid w:val="000716F4"/>
    <w:rsid w:val="00071DE2"/>
    <w:rsid w:val="00071ED3"/>
    <w:rsid w:val="00072D75"/>
    <w:rsid w:val="000735B3"/>
    <w:rsid w:val="0007446F"/>
    <w:rsid w:val="000744D3"/>
    <w:rsid w:val="00074B18"/>
    <w:rsid w:val="0007558C"/>
    <w:rsid w:val="00075A35"/>
    <w:rsid w:val="00075EF9"/>
    <w:rsid w:val="000779EC"/>
    <w:rsid w:val="000819DE"/>
    <w:rsid w:val="00081ACD"/>
    <w:rsid w:val="00082066"/>
    <w:rsid w:val="00082825"/>
    <w:rsid w:val="000832CE"/>
    <w:rsid w:val="0008493B"/>
    <w:rsid w:val="000850B0"/>
    <w:rsid w:val="000871F0"/>
    <w:rsid w:val="000877C2"/>
    <w:rsid w:val="00087C7A"/>
    <w:rsid w:val="00087F1D"/>
    <w:rsid w:val="0009016E"/>
    <w:rsid w:val="0009037B"/>
    <w:rsid w:val="00090FC9"/>
    <w:rsid w:val="00092218"/>
    <w:rsid w:val="00093CCB"/>
    <w:rsid w:val="00094383"/>
    <w:rsid w:val="000943A1"/>
    <w:rsid w:val="000949C3"/>
    <w:rsid w:val="00096AA7"/>
    <w:rsid w:val="000A1343"/>
    <w:rsid w:val="000A16BD"/>
    <w:rsid w:val="000A198D"/>
    <w:rsid w:val="000A1B95"/>
    <w:rsid w:val="000A221C"/>
    <w:rsid w:val="000A2A33"/>
    <w:rsid w:val="000A3CE9"/>
    <w:rsid w:val="000A59F5"/>
    <w:rsid w:val="000A5B6F"/>
    <w:rsid w:val="000A5FDD"/>
    <w:rsid w:val="000A607F"/>
    <w:rsid w:val="000A6951"/>
    <w:rsid w:val="000A7B31"/>
    <w:rsid w:val="000B0322"/>
    <w:rsid w:val="000B06CE"/>
    <w:rsid w:val="000B15ED"/>
    <w:rsid w:val="000B1E30"/>
    <w:rsid w:val="000B2712"/>
    <w:rsid w:val="000B3122"/>
    <w:rsid w:val="000B34C8"/>
    <w:rsid w:val="000B46C4"/>
    <w:rsid w:val="000B4821"/>
    <w:rsid w:val="000B4C75"/>
    <w:rsid w:val="000B51FD"/>
    <w:rsid w:val="000B5763"/>
    <w:rsid w:val="000B5B5E"/>
    <w:rsid w:val="000B62F1"/>
    <w:rsid w:val="000B6830"/>
    <w:rsid w:val="000C0338"/>
    <w:rsid w:val="000C0788"/>
    <w:rsid w:val="000C0FFE"/>
    <w:rsid w:val="000C1009"/>
    <w:rsid w:val="000C2BFA"/>
    <w:rsid w:val="000C3208"/>
    <w:rsid w:val="000C3215"/>
    <w:rsid w:val="000C3F3F"/>
    <w:rsid w:val="000C4F6F"/>
    <w:rsid w:val="000C5165"/>
    <w:rsid w:val="000C58B6"/>
    <w:rsid w:val="000C62AE"/>
    <w:rsid w:val="000C6DF0"/>
    <w:rsid w:val="000C7118"/>
    <w:rsid w:val="000C71C4"/>
    <w:rsid w:val="000C7D9D"/>
    <w:rsid w:val="000D0F75"/>
    <w:rsid w:val="000D23F9"/>
    <w:rsid w:val="000D33A7"/>
    <w:rsid w:val="000D3524"/>
    <w:rsid w:val="000D3EC7"/>
    <w:rsid w:val="000D4938"/>
    <w:rsid w:val="000D4F70"/>
    <w:rsid w:val="000D5BCC"/>
    <w:rsid w:val="000D5E3E"/>
    <w:rsid w:val="000D70D7"/>
    <w:rsid w:val="000D79E2"/>
    <w:rsid w:val="000D7E9A"/>
    <w:rsid w:val="000E1675"/>
    <w:rsid w:val="000E1A03"/>
    <w:rsid w:val="000E353B"/>
    <w:rsid w:val="000E3CD6"/>
    <w:rsid w:val="000E3CF0"/>
    <w:rsid w:val="000E3E64"/>
    <w:rsid w:val="000E41D1"/>
    <w:rsid w:val="000E47D2"/>
    <w:rsid w:val="000E49BC"/>
    <w:rsid w:val="000E5348"/>
    <w:rsid w:val="000E5670"/>
    <w:rsid w:val="000E5B8C"/>
    <w:rsid w:val="000E6C32"/>
    <w:rsid w:val="000E6CFF"/>
    <w:rsid w:val="000E6DF1"/>
    <w:rsid w:val="000E76B7"/>
    <w:rsid w:val="000E7985"/>
    <w:rsid w:val="000F023C"/>
    <w:rsid w:val="000F0F06"/>
    <w:rsid w:val="000F18C2"/>
    <w:rsid w:val="000F3500"/>
    <w:rsid w:val="000F385B"/>
    <w:rsid w:val="000F3E41"/>
    <w:rsid w:val="000F4815"/>
    <w:rsid w:val="000F4B38"/>
    <w:rsid w:val="000F5BEB"/>
    <w:rsid w:val="000F672C"/>
    <w:rsid w:val="000F67D7"/>
    <w:rsid w:val="000F67E2"/>
    <w:rsid w:val="000F6839"/>
    <w:rsid w:val="000F7B5F"/>
    <w:rsid w:val="001002C6"/>
    <w:rsid w:val="00100C23"/>
    <w:rsid w:val="00100CFD"/>
    <w:rsid w:val="00100F9F"/>
    <w:rsid w:val="00101317"/>
    <w:rsid w:val="0010162F"/>
    <w:rsid w:val="00101C6D"/>
    <w:rsid w:val="0010209C"/>
    <w:rsid w:val="00103C4C"/>
    <w:rsid w:val="00104EF4"/>
    <w:rsid w:val="00105A27"/>
    <w:rsid w:val="00105D44"/>
    <w:rsid w:val="001069F3"/>
    <w:rsid w:val="00107919"/>
    <w:rsid w:val="00107A3F"/>
    <w:rsid w:val="00110DC3"/>
    <w:rsid w:val="0011109B"/>
    <w:rsid w:val="00111503"/>
    <w:rsid w:val="00111568"/>
    <w:rsid w:val="00111D06"/>
    <w:rsid w:val="00111ECB"/>
    <w:rsid w:val="00113245"/>
    <w:rsid w:val="001134A1"/>
    <w:rsid w:val="00113548"/>
    <w:rsid w:val="001135DC"/>
    <w:rsid w:val="00113AA0"/>
    <w:rsid w:val="001152B3"/>
    <w:rsid w:val="0011590F"/>
    <w:rsid w:val="00116B32"/>
    <w:rsid w:val="00117044"/>
    <w:rsid w:val="001178BB"/>
    <w:rsid w:val="001178EC"/>
    <w:rsid w:val="00117ED8"/>
    <w:rsid w:val="001210DE"/>
    <w:rsid w:val="00122047"/>
    <w:rsid w:val="00122A8A"/>
    <w:rsid w:val="00124246"/>
    <w:rsid w:val="00124516"/>
    <w:rsid w:val="00124612"/>
    <w:rsid w:val="001258BA"/>
    <w:rsid w:val="00125950"/>
    <w:rsid w:val="001261B6"/>
    <w:rsid w:val="001261DB"/>
    <w:rsid w:val="0012721A"/>
    <w:rsid w:val="00127C81"/>
    <w:rsid w:val="00127F05"/>
    <w:rsid w:val="00130307"/>
    <w:rsid w:val="001315F0"/>
    <w:rsid w:val="00133111"/>
    <w:rsid w:val="00133217"/>
    <w:rsid w:val="0013362A"/>
    <w:rsid w:val="00133728"/>
    <w:rsid w:val="00133C91"/>
    <w:rsid w:val="0013435F"/>
    <w:rsid w:val="00135693"/>
    <w:rsid w:val="00135A96"/>
    <w:rsid w:val="001370B1"/>
    <w:rsid w:val="00140A3D"/>
    <w:rsid w:val="00140AE6"/>
    <w:rsid w:val="00140FB2"/>
    <w:rsid w:val="00141363"/>
    <w:rsid w:val="0014260D"/>
    <w:rsid w:val="00144F64"/>
    <w:rsid w:val="001458B4"/>
    <w:rsid w:val="00146837"/>
    <w:rsid w:val="00146C76"/>
    <w:rsid w:val="001471A7"/>
    <w:rsid w:val="001474BD"/>
    <w:rsid w:val="00150B64"/>
    <w:rsid w:val="00152C7F"/>
    <w:rsid w:val="001542BE"/>
    <w:rsid w:val="001543DB"/>
    <w:rsid w:val="00154E57"/>
    <w:rsid w:val="001605F2"/>
    <w:rsid w:val="0016079B"/>
    <w:rsid w:val="001608AF"/>
    <w:rsid w:val="001659CF"/>
    <w:rsid w:val="001663B0"/>
    <w:rsid w:val="00166BB7"/>
    <w:rsid w:val="00166F69"/>
    <w:rsid w:val="00166FC6"/>
    <w:rsid w:val="00167050"/>
    <w:rsid w:val="00167AE9"/>
    <w:rsid w:val="001707AB"/>
    <w:rsid w:val="00170B63"/>
    <w:rsid w:val="00170EE7"/>
    <w:rsid w:val="00170FF1"/>
    <w:rsid w:val="0017162C"/>
    <w:rsid w:val="00171C5D"/>
    <w:rsid w:val="0017211E"/>
    <w:rsid w:val="001727B9"/>
    <w:rsid w:val="00173B22"/>
    <w:rsid w:val="00174AE1"/>
    <w:rsid w:val="001751C9"/>
    <w:rsid w:val="00175A46"/>
    <w:rsid w:val="0018004E"/>
    <w:rsid w:val="00180205"/>
    <w:rsid w:val="00180CDA"/>
    <w:rsid w:val="00181592"/>
    <w:rsid w:val="001817E5"/>
    <w:rsid w:val="0018191C"/>
    <w:rsid w:val="0018217D"/>
    <w:rsid w:val="00182455"/>
    <w:rsid w:val="00182C26"/>
    <w:rsid w:val="00183220"/>
    <w:rsid w:val="00183A40"/>
    <w:rsid w:val="0019011E"/>
    <w:rsid w:val="001908FF"/>
    <w:rsid w:val="00190937"/>
    <w:rsid w:val="00192602"/>
    <w:rsid w:val="00192C21"/>
    <w:rsid w:val="00192C76"/>
    <w:rsid w:val="001948FD"/>
    <w:rsid w:val="00195322"/>
    <w:rsid w:val="00195F26"/>
    <w:rsid w:val="00197890"/>
    <w:rsid w:val="001A08FE"/>
    <w:rsid w:val="001A2113"/>
    <w:rsid w:val="001A2A7D"/>
    <w:rsid w:val="001A2EAF"/>
    <w:rsid w:val="001A2FA7"/>
    <w:rsid w:val="001A31A1"/>
    <w:rsid w:val="001A4695"/>
    <w:rsid w:val="001A5944"/>
    <w:rsid w:val="001A6140"/>
    <w:rsid w:val="001A6A21"/>
    <w:rsid w:val="001A709A"/>
    <w:rsid w:val="001A731B"/>
    <w:rsid w:val="001A7A28"/>
    <w:rsid w:val="001A7DAB"/>
    <w:rsid w:val="001B116E"/>
    <w:rsid w:val="001B13B7"/>
    <w:rsid w:val="001B173F"/>
    <w:rsid w:val="001B3827"/>
    <w:rsid w:val="001B39E4"/>
    <w:rsid w:val="001B47D9"/>
    <w:rsid w:val="001B50B7"/>
    <w:rsid w:val="001B554E"/>
    <w:rsid w:val="001B5A99"/>
    <w:rsid w:val="001B640A"/>
    <w:rsid w:val="001B66D4"/>
    <w:rsid w:val="001B6822"/>
    <w:rsid w:val="001B6918"/>
    <w:rsid w:val="001B6B3A"/>
    <w:rsid w:val="001B6BA0"/>
    <w:rsid w:val="001B7987"/>
    <w:rsid w:val="001C0477"/>
    <w:rsid w:val="001C1DEA"/>
    <w:rsid w:val="001C2A54"/>
    <w:rsid w:val="001C2A5C"/>
    <w:rsid w:val="001C2D10"/>
    <w:rsid w:val="001C3714"/>
    <w:rsid w:val="001C4A53"/>
    <w:rsid w:val="001C4C92"/>
    <w:rsid w:val="001C56DC"/>
    <w:rsid w:val="001C65C0"/>
    <w:rsid w:val="001C7E34"/>
    <w:rsid w:val="001D035C"/>
    <w:rsid w:val="001D2F8C"/>
    <w:rsid w:val="001D468C"/>
    <w:rsid w:val="001D4B37"/>
    <w:rsid w:val="001D4F0A"/>
    <w:rsid w:val="001D5D7F"/>
    <w:rsid w:val="001D6A71"/>
    <w:rsid w:val="001D7EEA"/>
    <w:rsid w:val="001D7EF6"/>
    <w:rsid w:val="001E0329"/>
    <w:rsid w:val="001E13C8"/>
    <w:rsid w:val="001E1870"/>
    <w:rsid w:val="001E1C6B"/>
    <w:rsid w:val="001E205C"/>
    <w:rsid w:val="001E2616"/>
    <w:rsid w:val="001E3FBC"/>
    <w:rsid w:val="001E5B1B"/>
    <w:rsid w:val="001E618D"/>
    <w:rsid w:val="001E7A21"/>
    <w:rsid w:val="001E7CF4"/>
    <w:rsid w:val="001E7FD4"/>
    <w:rsid w:val="001F0649"/>
    <w:rsid w:val="001F092B"/>
    <w:rsid w:val="001F0E9F"/>
    <w:rsid w:val="001F1948"/>
    <w:rsid w:val="001F23B7"/>
    <w:rsid w:val="001F299C"/>
    <w:rsid w:val="001F3F4E"/>
    <w:rsid w:val="001F45BD"/>
    <w:rsid w:val="001F46B9"/>
    <w:rsid w:val="001F569C"/>
    <w:rsid w:val="001F689A"/>
    <w:rsid w:val="001F6E1D"/>
    <w:rsid w:val="001F6EA5"/>
    <w:rsid w:val="001F7AB5"/>
    <w:rsid w:val="00200080"/>
    <w:rsid w:val="00200CFD"/>
    <w:rsid w:val="002017E9"/>
    <w:rsid w:val="00202DA4"/>
    <w:rsid w:val="00203655"/>
    <w:rsid w:val="002038C8"/>
    <w:rsid w:val="00203E9C"/>
    <w:rsid w:val="002053C1"/>
    <w:rsid w:val="002055A3"/>
    <w:rsid w:val="002065DF"/>
    <w:rsid w:val="0020745C"/>
    <w:rsid w:val="002102CF"/>
    <w:rsid w:val="00210627"/>
    <w:rsid w:val="00210CCF"/>
    <w:rsid w:val="00210DC3"/>
    <w:rsid w:val="00211F2B"/>
    <w:rsid w:val="002127F9"/>
    <w:rsid w:val="00212AD8"/>
    <w:rsid w:val="002156A3"/>
    <w:rsid w:val="0021586A"/>
    <w:rsid w:val="00215E9D"/>
    <w:rsid w:val="002160E5"/>
    <w:rsid w:val="002166A8"/>
    <w:rsid w:val="00216737"/>
    <w:rsid w:val="0022175E"/>
    <w:rsid w:val="00222144"/>
    <w:rsid w:val="002226D9"/>
    <w:rsid w:val="00224344"/>
    <w:rsid w:val="0022434E"/>
    <w:rsid w:val="0022439E"/>
    <w:rsid w:val="002257F0"/>
    <w:rsid w:val="00225FE0"/>
    <w:rsid w:val="002260DB"/>
    <w:rsid w:val="002266F4"/>
    <w:rsid w:val="00227FB1"/>
    <w:rsid w:val="002313CE"/>
    <w:rsid w:val="002324F8"/>
    <w:rsid w:val="0023265B"/>
    <w:rsid w:val="00232669"/>
    <w:rsid w:val="002327FB"/>
    <w:rsid w:val="00233E60"/>
    <w:rsid w:val="00234378"/>
    <w:rsid w:val="0023511B"/>
    <w:rsid w:val="0023527C"/>
    <w:rsid w:val="00235D7A"/>
    <w:rsid w:val="0023602E"/>
    <w:rsid w:val="0023700C"/>
    <w:rsid w:val="00237132"/>
    <w:rsid w:val="00237A82"/>
    <w:rsid w:val="002403C1"/>
    <w:rsid w:val="00240B57"/>
    <w:rsid w:val="00240FB3"/>
    <w:rsid w:val="00242122"/>
    <w:rsid w:val="00242350"/>
    <w:rsid w:val="00242EC6"/>
    <w:rsid w:val="00242FF7"/>
    <w:rsid w:val="002431E6"/>
    <w:rsid w:val="00243355"/>
    <w:rsid w:val="002434ED"/>
    <w:rsid w:val="0024392A"/>
    <w:rsid w:val="00243E25"/>
    <w:rsid w:val="002449C7"/>
    <w:rsid w:val="00244A84"/>
    <w:rsid w:val="00244AB9"/>
    <w:rsid w:val="00244C78"/>
    <w:rsid w:val="002467E1"/>
    <w:rsid w:val="00247B9E"/>
    <w:rsid w:val="002515E7"/>
    <w:rsid w:val="00251B01"/>
    <w:rsid w:val="002521F7"/>
    <w:rsid w:val="002522C0"/>
    <w:rsid w:val="00252313"/>
    <w:rsid w:val="002525AC"/>
    <w:rsid w:val="002529FF"/>
    <w:rsid w:val="00252A00"/>
    <w:rsid w:val="00252EC8"/>
    <w:rsid w:val="00253884"/>
    <w:rsid w:val="00253ECD"/>
    <w:rsid w:val="002540E1"/>
    <w:rsid w:val="00254A9E"/>
    <w:rsid w:val="00255952"/>
    <w:rsid w:val="002566CB"/>
    <w:rsid w:val="0025688C"/>
    <w:rsid w:val="00257406"/>
    <w:rsid w:val="002579D4"/>
    <w:rsid w:val="00257EDE"/>
    <w:rsid w:val="0026119E"/>
    <w:rsid w:val="00263144"/>
    <w:rsid w:val="00263EE3"/>
    <w:rsid w:val="002642EA"/>
    <w:rsid w:val="002643B8"/>
    <w:rsid w:val="00264820"/>
    <w:rsid w:val="00264DC7"/>
    <w:rsid w:val="00264E46"/>
    <w:rsid w:val="00266683"/>
    <w:rsid w:val="002675BB"/>
    <w:rsid w:val="00270C95"/>
    <w:rsid w:val="002716BF"/>
    <w:rsid w:val="00272558"/>
    <w:rsid w:val="00273469"/>
    <w:rsid w:val="00273BE4"/>
    <w:rsid w:val="00273EAA"/>
    <w:rsid w:val="002745A6"/>
    <w:rsid w:val="002749DF"/>
    <w:rsid w:val="00274D13"/>
    <w:rsid w:val="00276BBB"/>
    <w:rsid w:val="00277181"/>
    <w:rsid w:val="00280FB3"/>
    <w:rsid w:val="0028175B"/>
    <w:rsid w:val="00284557"/>
    <w:rsid w:val="00285323"/>
    <w:rsid w:val="00285550"/>
    <w:rsid w:val="002857EE"/>
    <w:rsid w:val="00285993"/>
    <w:rsid w:val="002868B1"/>
    <w:rsid w:val="00286FBE"/>
    <w:rsid w:val="00290078"/>
    <w:rsid w:val="00290737"/>
    <w:rsid w:val="0029091E"/>
    <w:rsid w:val="00290F31"/>
    <w:rsid w:val="00291F66"/>
    <w:rsid w:val="0029207B"/>
    <w:rsid w:val="00292106"/>
    <w:rsid w:val="002930F5"/>
    <w:rsid w:val="00294734"/>
    <w:rsid w:val="0029483B"/>
    <w:rsid w:val="002951E4"/>
    <w:rsid w:val="00295950"/>
    <w:rsid w:val="00296E88"/>
    <w:rsid w:val="00297231"/>
    <w:rsid w:val="00297B11"/>
    <w:rsid w:val="002A02C3"/>
    <w:rsid w:val="002A0606"/>
    <w:rsid w:val="002A0C21"/>
    <w:rsid w:val="002A1254"/>
    <w:rsid w:val="002A17BF"/>
    <w:rsid w:val="002A1F6F"/>
    <w:rsid w:val="002A27B7"/>
    <w:rsid w:val="002A2FCE"/>
    <w:rsid w:val="002A3D50"/>
    <w:rsid w:val="002A5920"/>
    <w:rsid w:val="002A63C3"/>
    <w:rsid w:val="002A6F6F"/>
    <w:rsid w:val="002A7CB6"/>
    <w:rsid w:val="002A7D1B"/>
    <w:rsid w:val="002B03D7"/>
    <w:rsid w:val="002B0BDB"/>
    <w:rsid w:val="002B1ECB"/>
    <w:rsid w:val="002B2243"/>
    <w:rsid w:val="002B2CDF"/>
    <w:rsid w:val="002B482E"/>
    <w:rsid w:val="002B5773"/>
    <w:rsid w:val="002B619C"/>
    <w:rsid w:val="002B6A13"/>
    <w:rsid w:val="002B72BF"/>
    <w:rsid w:val="002B7B46"/>
    <w:rsid w:val="002B7F6C"/>
    <w:rsid w:val="002C03D8"/>
    <w:rsid w:val="002C04A7"/>
    <w:rsid w:val="002C0B4C"/>
    <w:rsid w:val="002C0D9B"/>
    <w:rsid w:val="002C2C01"/>
    <w:rsid w:val="002C37BB"/>
    <w:rsid w:val="002C3C1E"/>
    <w:rsid w:val="002C4330"/>
    <w:rsid w:val="002C4A83"/>
    <w:rsid w:val="002C4AAF"/>
    <w:rsid w:val="002C4C87"/>
    <w:rsid w:val="002C6843"/>
    <w:rsid w:val="002C699B"/>
    <w:rsid w:val="002C6EAD"/>
    <w:rsid w:val="002C7D49"/>
    <w:rsid w:val="002D0127"/>
    <w:rsid w:val="002D0D06"/>
    <w:rsid w:val="002D1AE2"/>
    <w:rsid w:val="002D28C4"/>
    <w:rsid w:val="002D316F"/>
    <w:rsid w:val="002D36C5"/>
    <w:rsid w:val="002D388F"/>
    <w:rsid w:val="002D3DC2"/>
    <w:rsid w:val="002D3F88"/>
    <w:rsid w:val="002D45FF"/>
    <w:rsid w:val="002D5951"/>
    <w:rsid w:val="002D68E8"/>
    <w:rsid w:val="002D6CE8"/>
    <w:rsid w:val="002D6F27"/>
    <w:rsid w:val="002D7CEE"/>
    <w:rsid w:val="002E0CBD"/>
    <w:rsid w:val="002E1B54"/>
    <w:rsid w:val="002E1B89"/>
    <w:rsid w:val="002E1F97"/>
    <w:rsid w:val="002E3298"/>
    <w:rsid w:val="002E33E5"/>
    <w:rsid w:val="002E38FC"/>
    <w:rsid w:val="002E391E"/>
    <w:rsid w:val="002E3CC3"/>
    <w:rsid w:val="002E4DBB"/>
    <w:rsid w:val="002E5200"/>
    <w:rsid w:val="002E6D30"/>
    <w:rsid w:val="002F1255"/>
    <w:rsid w:val="002F1394"/>
    <w:rsid w:val="002F1528"/>
    <w:rsid w:val="002F1803"/>
    <w:rsid w:val="002F47FD"/>
    <w:rsid w:val="002F4B0E"/>
    <w:rsid w:val="002F4C48"/>
    <w:rsid w:val="002F58A1"/>
    <w:rsid w:val="002F5A2B"/>
    <w:rsid w:val="002F750C"/>
    <w:rsid w:val="002F75A6"/>
    <w:rsid w:val="00300034"/>
    <w:rsid w:val="003003A5"/>
    <w:rsid w:val="00300564"/>
    <w:rsid w:val="00301AAD"/>
    <w:rsid w:val="00304958"/>
    <w:rsid w:val="00304EF7"/>
    <w:rsid w:val="003066E1"/>
    <w:rsid w:val="003067B2"/>
    <w:rsid w:val="00307714"/>
    <w:rsid w:val="003078FC"/>
    <w:rsid w:val="00310FC8"/>
    <w:rsid w:val="00311A97"/>
    <w:rsid w:val="00312460"/>
    <w:rsid w:val="00312F37"/>
    <w:rsid w:val="003144E4"/>
    <w:rsid w:val="00314A12"/>
    <w:rsid w:val="00316083"/>
    <w:rsid w:val="0032069A"/>
    <w:rsid w:val="00320738"/>
    <w:rsid w:val="00320A58"/>
    <w:rsid w:val="0032195E"/>
    <w:rsid w:val="00321BB2"/>
    <w:rsid w:val="00322137"/>
    <w:rsid w:val="0032247A"/>
    <w:rsid w:val="00322C03"/>
    <w:rsid w:val="00323A61"/>
    <w:rsid w:val="00324706"/>
    <w:rsid w:val="00330632"/>
    <w:rsid w:val="00330683"/>
    <w:rsid w:val="00330DC9"/>
    <w:rsid w:val="0033318A"/>
    <w:rsid w:val="003337BB"/>
    <w:rsid w:val="0033469B"/>
    <w:rsid w:val="003363F9"/>
    <w:rsid w:val="003366F7"/>
    <w:rsid w:val="00337BB9"/>
    <w:rsid w:val="0034078F"/>
    <w:rsid w:val="00342324"/>
    <w:rsid w:val="0034258D"/>
    <w:rsid w:val="003432C2"/>
    <w:rsid w:val="00343B7C"/>
    <w:rsid w:val="00343C02"/>
    <w:rsid w:val="00343C80"/>
    <w:rsid w:val="003446A7"/>
    <w:rsid w:val="003446E8"/>
    <w:rsid w:val="0034612B"/>
    <w:rsid w:val="00347A9C"/>
    <w:rsid w:val="00350A59"/>
    <w:rsid w:val="00350E06"/>
    <w:rsid w:val="0035108B"/>
    <w:rsid w:val="003515A9"/>
    <w:rsid w:val="00351951"/>
    <w:rsid w:val="003528BF"/>
    <w:rsid w:val="003532E2"/>
    <w:rsid w:val="0035585A"/>
    <w:rsid w:val="0035697C"/>
    <w:rsid w:val="00356E5C"/>
    <w:rsid w:val="00357505"/>
    <w:rsid w:val="00360F5F"/>
    <w:rsid w:val="00361E2D"/>
    <w:rsid w:val="003624ED"/>
    <w:rsid w:val="00362DE2"/>
    <w:rsid w:val="003630F7"/>
    <w:rsid w:val="00363A93"/>
    <w:rsid w:val="00363C60"/>
    <w:rsid w:val="00363E07"/>
    <w:rsid w:val="00364154"/>
    <w:rsid w:val="003651B3"/>
    <w:rsid w:val="003655C7"/>
    <w:rsid w:val="003655FA"/>
    <w:rsid w:val="003671D4"/>
    <w:rsid w:val="003676B3"/>
    <w:rsid w:val="0037062D"/>
    <w:rsid w:val="00371953"/>
    <w:rsid w:val="00371A0C"/>
    <w:rsid w:val="00371EF9"/>
    <w:rsid w:val="003723DB"/>
    <w:rsid w:val="0037360D"/>
    <w:rsid w:val="0037377B"/>
    <w:rsid w:val="003740DC"/>
    <w:rsid w:val="003768FE"/>
    <w:rsid w:val="00380083"/>
    <w:rsid w:val="00381E8E"/>
    <w:rsid w:val="003828BE"/>
    <w:rsid w:val="00383932"/>
    <w:rsid w:val="003839BA"/>
    <w:rsid w:val="003841AC"/>
    <w:rsid w:val="00384F50"/>
    <w:rsid w:val="00385572"/>
    <w:rsid w:val="00385D5B"/>
    <w:rsid w:val="00387AA7"/>
    <w:rsid w:val="00387AC6"/>
    <w:rsid w:val="00391BA5"/>
    <w:rsid w:val="00392285"/>
    <w:rsid w:val="003928BC"/>
    <w:rsid w:val="003941EA"/>
    <w:rsid w:val="003945E5"/>
    <w:rsid w:val="00395146"/>
    <w:rsid w:val="00395613"/>
    <w:rsid w:val="00395D7D"/>
    <w:rsid w:val="003A05DB"/>
    <w:rsid w:val="003A0625"/>
    <w:rsid w:val="003A0B3A"/>
    <w:rsid w:val="003A0D07"/>
    <w:rsid w:val="003A2031"/>
    <w:rsid w:val="003A22BE"/>
    <w:rsid w:val="003A2BFB"/>
    <w:rsid w:val="003A48E1"/>
    <w:rsid w:val="003A5046"/>
    <w:rsid w:val="003A59D9"/>
    <w:rsid w:val="003A5BD1"/>
    <w:rsid w:val="003A6C7A"/>
    <w:rsid w:val="003B087A"/>
    <w:rsid w:val="003B1855"/>
    <w:rsid w:val="003B2206"/>
    <w:rsid w:val="003B2D70"/>
    <w:rsid w:val="003B36DD"/>
    <w:rsid w:val="003B392D"/>
    <w:rsid w:val="003B3AEA"/>
    <w:rsid w:val="003B4C05"/>
    <w:rsid w:val="003B6ED5"/>
    <w:rsid w:val="003B702A"/>
    <w:rsid w:val="003B7067"/>
    <w:rsid w:val="003B745C"/>
    <w:rsid w:val="003C0C76"/>
    <w:rsid w:val="003C0D14"/>
    <w:rsid w:val="003C1B28"/>
    <w:rsid w:val="003C1DF1"/>
    <w:rsid w:val="003C253B"/>
    <w:rsid w:val="003C2942"/>
    <w:rsid w:val="003C3885"/>
    <w:rsid w:val="003C50AA"/>
    <w:rsid w:val="003C583E"/>
    <w:rsid w:val="003C5F59"/>
    <w:rsid w:val="003C696E"/>
    <w:rsid w:val="003C71FA"/>
    <w:rsid w:val="003C7736"/>
    <w:rsid w:val="003C7A7A"/>
    <w:rsid w:val="003C7B93"/>
    <w:rsid w:val="003D1215"/>
    <w:rsid w:val="003D215A"/>
    <w:rsid w:val="003D2810"/>
    <w:rsid w:val="003D2F6C"/>
    <w:rsid w:val="003D434A"/>
    <w:rsid w:val="003D471E"/>
    <w:rsid w:val="003D64E9"/>
    <w:rsid w:val="003D7F94"/>
    <w:rsid w:val="003E0104"/>
    <w:rsid w:val="003E0D1C"/>
    <w:rsid w:val="003E2194"/>
    <w:rsid w:val="003E2A18"/>
    <w:rsid w:val="003E531C"/>
    <w:rsid w:val="003E6FC5"/>
    <w:rsid w:val="003E711E"/>
    <w:rsid w:val="003E748C"/>
    <w:rsid w:val="003E7E36"/>
    <w:rsid w:val="003F0882"/>
    <w:rsid w:val="003F0CE1"/>
    <w:rsid w:val="003F1982"/>
    <w:rsid w:val="003F2149"/>
    <w:rsid w:val="003F23C3"/>
    <w:rsid w:val="003F310E"/>
    <w:rsid w:val="003F3FE0"/>
    <w:rsid w:val="003F5D2B"/>
    <w:rsid w:val="003F6809"/>
    <w:rsid w:val="003F6A88"/>
    <w:rsid w:val="003F6D8D"/>
    <w:rsid w:val="003F70CC"/>
    <w:rsid w:val="003F7219"/>
    <w:rsid w:val="0040006B"/>
    <w:rsid w:val="00400659"/>
    <w:rsid w:val="0040074B"/>
    <w:rsid w:val="00400992"/>
    <w:rsid w:val="00401F22"/>
    <w:rsid w:val="00401F27"/>
    <w:rsid w:val="00402773"/>
    <w:rsid w:val="00403229"/>
    <w:rsid w:val="004047C5"/>
    <w:rsid w:val="0040547A"/>
    <w:rsid w:val="00406019"/>
    <w:rsid w:val="0040611E"/>
    <w:rsid w:val="004103F9"/>
    <w:rsid w:val="00411372"/>
    <w:rsid w:val="004114F2"/>
    <w:rsid w:val="0041378F"/>
    <w:rsid w:val="004139AE"/>
    <w:rsid w:val="004139E6"/>
    <w:rsid w:val="004161DA"/>
    <w:rsid w:val="00416DB2"/>
    <w:rsid w:val="00417386"/>
    <w:rsid w:val="00417C0E"/>
    <w:rsid w:val="004200B8"/>
    <w:rsid w:val="00421322"/>
    <w:rsid w:val="00421446"/>
    <w:rsid w:val="0042224A"/>
    <w:rsid w:val="00422A76"/>
    <w:rsid w:val="00422F6A"/>
    <w:rsid w:val="00423F45"/>
    <w:rsid w:val="00425AF3"/>
    <w:rsid w:val="00425F55"/>
    <w:rsid w:val="00426020"/>
    <w:rsid w:val="004276DC"/>
    <w:rsid w:val="004278A4"/>
    <w:rsid w:val="00427E83"/>
    <w:rsid w:val="004303F1"/>
    <w:rsid w:val="00430BA1"/>
    <w:rsid w:val="004311D4"/>
    <w:rsid w:val="00431340"/>
    <w:rsid w:val="00431740"/>
    <w:rsid w:val="00431AF9"/>
    <w:rsid w:val="00431BC0"/>
    <w:rsid w:val="00432F0F"/>
    <w:rsid w:val="00433158"/>
    <w:rsid w:val="00433179"/>
    <w:rsid w:val="004338EF"/>
    <w:rsid w:val="0043699A"/>
    <w:rsid w:val="004374EB"/>
    <w:rsid w:val="00437D92"/>
    <w:rsid w:val="0044032D"/>
    <w:rsid w:val="0044179D"/>
    <w:rsid w:val="00441F3D"/>
    <w:rsid w:val="00442737"/>
    <w:rsid w:val="00442B6C"/>
    <w:rsid w:val="00443155"/>
    <w:rsid w:val="004433DC"/>
    <w:rsid w:val="00443443"/>
    <w:rsid w:val="00443B84"/>
    <w:rsid w:val="00444D61"/>
    <w:rsid w:val="00444F97"/>
    <w:rsid w:val="00445E0B"/>
    <w:rsid w:val="004460F6"/>
    <w:rsid w:val="004464B2"/>
    <w:rsid w:val="00446DB8"/>
    <w:rsid w:val="00447B4A"/>
    <w:rsid w:val="00447B5B"/>
    <w:rsid w:val="00447D06"/>
    <w:rsid w:val="00447E8E"/>
    <w:rsid w:val="00447EDF"/>
    <w:rsid w:val="00450D48"/>
    <w:rsid w:val="004512A4"/>
    <w:rsid w:val="00452302"/>
    <w:rsid w:val="00454E51"/>
    <w:rsid w:val="0045602F"/>
    <w:rsid w:val="004563DB"/>
    <w:rsid w:val="00457F17"/>
    <w:rsid w:val="00457F8F"/>
    <w:rsid w:val="0046019A"/>
    <w:rsid w:val="00460394"/>
    <w:rsid w:val="004604C1"/>
    <w:rsid w:val="0046097F"/>
    <w:rsid w:val="00460B81"/>
    <w:rsid w:val="004617F3"/>
    <w:rsid w:val="00461B13"/>
    <w:rsid w:val="00462184"/>
    <w:rsid w:val="0046254B"/>
    <w:rsid w:val="00462D8C"/>
    <w:rsid w:val="004631BC"/>
    <w:rsid w:val="00463EE7"/>
    <w:rsid w:val="0046528F"/>
    <w:rsid w:val="004666D6"/>
    <w:rsid w:val="00466F9B"/>
    <w:rsid w:val="00467F13"/>
    <w:rsid w:val="00470089"/>
    <w:rsid w:val="00470E40"/>
    <w:rsid w:val="004721AF"/>
    <w:rsid w:val="004722E8"/>
    <w:rsid w:val="004727EC"/>
    <w:rsid w:val="00472A73"/>
    <w:rsid w:val="00472B7B"/>
    <w:rsid w:val="004746E7"/>
    <w:rsid w:val="00474706"/>
    <w:rsid w:val="00474CD0"/>
    <w:rsid w:val="0047527A"/>
    <w:rsid w:val="00475ACD"/>
    <w:rsid w:val="00475F5B"/>
    <w:rsid w:val="004762CE"/>
    <w:rsid w:val="00480AB4"/>
    <w:rsid w:val="00481934"/>
    <w:rsid w:val="00482769"/>
    <w:rsid w:val="00482BDE"/>
    <w:rsid w:val="004841BD"/>
    <w:rsid w:val="00484C21"/>
    <w:rsid w:val="00486185"/>
    <w:rsid w:val="00487066"/>
    <w:rsid w:val="004871AF"/>
    <w:rsid w:val="00491625"/>
    <w:rsid w:val="004919BF"/>
    <w:rsid w:val="00492AE5"/>
    <w:rsid w:val="00492DD7"/>
    <w:rsid w:val="00493D17"/>
    <w:rsid w:val="00494003"/>
    <w:rsid w:val="00495283"/>
    <w:rsid w:val="00496230"/>
    <w:rsid w:val="00496E57"/>
    <w:rsid w:val="0049780F"/>
    <w:rsid w:val="004A0649"/>
    <w:rsid w:val="004A0C31"/>
    <w:rsid w:val="004A0C82"/>
    <w:rsid w:val="004A2911"/>
    <w:rsid w:val="004A2952"/>
    <w:rsid w:val="004A29DA"/>
    <w:rsid w:val="004A3368"/>
    <w:rsid w:val="004A4444"/>
    <w:rsid w:val="004A4B57"/>
    <w:rsid w:val="004A4DE4"/>
    <w:rsid w:val="004A622A"/>
    <w:rsid w:val="004A638A"/>
    <w:rsid w:val="004A6FAE"/>
    <w:rsid w:val="004B1DD8"/>
    <w:rsid w:val="004B2192"/>
    <w:rsid w:val="004B480C"/>
    <w:rsid w:val="004B4D29"/>
    <w:rsid w:val="004B4F85"/>
    <w:rsid w:val="004B528E"/>
    <w:rsid w:val="004B5B43"/>
    <w:rsid w:val="004B7B57"/>
    <w:rsid w:val="004B7DE5"/>
    <w:rsid w:val="004C03DA"/>
    <w:rsid w:val="004C0689"/>
    <w:rsid w:val="004C164E"/>
    <w:rsid w:val="004C19DB"/>
    <w:rsid w:val="004C2E22"/>
    <w:rsid w:val="004C4876"/>
    <w:rsid w:val="004C48E0"/>
    <w:rsid w:val="004C735F"/>
    <w:rsid w:val="004C7797"/>
    <w:rsid w:val="004C7C3B"/>
    <w:rsid w:val="004C7C8A"/>
    <w:rsid w:val="004D119D"/>
    <w:rsid w:val="004D147B"/>
    <w:rsid w:val="004D29B5"/>
    <w:rsid w:val="004D2D2A"/>
    <w:rsid w:val="004D38C0"/>
    <w:rsid w:val="004D395B"/>
    <w:rsid w:val="004D3C0B"/>
    <w:rsid w:val="004D4584"/>
    <w:rsid w:val="004D492D"/>
    <w:rsid w:val="004D4F97"/>
    <w:rsid w:val="004D59D3"/>
    <w:rsid w:val="004D5CEA"/>
    <w:rsid w:val="004D5DB4"/>
    <w:rsid w:val="004D5E0C"/>
    <w:rsid w:val="004D68BF"/>
    <w:rsid w:val="004D6FDE"/>
    <w:rsid w:val="004D7111"/>
    <w:rsid w:val="004E0907"/>
    <w:rsid w:val="004E18BE"/>
    <w:rsid w:val="004E1B08"/>
    <w:rsid w:val="004E1CB3"/>
    <w:rsid w:val="004E2B7A"/>
    <w:rsid w:val="004E3D7A"/>
    <w:rsid w:val="004E45B7"/>
    <w:rsid w:val="004E5B8E"/>
    <w:rsid w:val="004F00AF"/>
    <w:rsid w:val="004F1A24"/>
    <w:rsid w:val="004F23D5"/>
    <w:rsid w:val="004F37C2"/>
    <w:rsid w:val="004F405A"/>
    <w:rsid w:val="004F4217"/>
    <w:rsid w:val="004F45D5"/>
    <w:rsid w:val="004F4DE3"/>
    <w:rsid w:val="004F5CC7"/>
    <w:rsid w:val="004F72B7"/>
    <w:rsid w:val="005004B5"/>
    <w:rsid w:val="005009BA"/>
    <w:rsid w:val="0050125C"/>
    <w:rsid w:val="00502D44"/>
    <w:rsid w:val="005030BA"/>
    <w:rsid w:val="00503830"/>
    <w:rsid w:val="00503883"/>
    <w:rsid w:val="00503E57"/>
    <w:rsid w:val="00504D0C"/>
    <w:rsid w:val="005057CD"/>
    <w:rsid w:val="00505AB1"/>
    <w:rsid w:val="005065F2"/>
    <w:rsid w:val="00506B3C"/>
    <w:rsid w:val="005077E2"/>
    <w:rsid w:val="00510036"/>
    <w:rsid w:val="00510652"/>
    <w:rsid w:val="00510939"/>
    <w:rsid w:val="00510D4D"/>
    <w:rsid w:val="00511068"/>
    <w:rsid w:val="005117DA"/>
    <w:rsid w:val="00511BF6"/>
    <w:rsid w:val="00511DD0"/>
    <w:rsid w:val="00512A39"/>
    <w:rsid w:val="005134C3"/>
    <w:rsid w:val="00514651"/>
    <w:rsid w:val="0051468A"/>
    <w:rsid w:val="0051496C"/>
    <w:rsid w:val="00514FA4"/>
    <w:rsid w:val="005158A2"/>
    <w:rsid w:val="00515B5B"/>
    <w:rsid w:val="0051736B"/>
    <w:rsid w:val="00520134"/>
    <w:rsid w:val="00522292"/>
    <w:rsid w:val="0052269D"/>
    <w:rsid w:val="00523248"/>
    <w:rsid w:val="0052372A"/>
    <w:rsid w:val="00523D94"/>
    <w:rsid w:val="00524620"/>
    <w:rsid w:val="00524E88"/>
    <w:rsid w:val="005262B5"/>
    <w:rsid w:val="00526E0B"/>
    <w:rsid w:val="00530739"/>
    <w:rsid w:val="00530F1A"/>
    <w:rsid w:val="00531326"/>
    <w:rsid w:val="00531A83"/>
    <w:rsid w:val="00531C65"/>
    <w:rsid w:val="00532ABA"/>
    <w:rsid w:val="00534363"/>
    <w:rsid w:val="00535247"/>
    <w:rsid w:val="00535DE9"/>
    <w:rsid w:val="00536BA1"/>
    <w:rsid w:val="00537AEC"/>
    <w:rsid w:val="00537F6C"/>
    <w:rsid w:val="0054001B"/>
    <w:rsid w:val="005406BC"/>
    <w:rsid w:val="005413AD"/>
    <w:rsid w:val="00541B76"/>
    <w:rsid w:val="00541DE8"/>
    <w:rsid w:val="0054208C"/>
    <w:rsid w:val="0054263B"/>
    <w:rsid w:val="00542E58"/>
    <w:rsid w:val="0054391B"/>
    <w:rsid w:val="00543A3B"/>
    <w:rsid w:val="005453A8"/>
    <w:rsid w:val="0054553E"/>
    <w:rsid w:val="005479C5"/>
    <w:rsid w:val="00547C60"/>
    <w:rsid w:val="0055119E"/>
    <w:rsid w:val="00551BFF"/>
    <w:rsid w:val="00551E53"/>
    <w:rsid w:val="0055208B"/>
    <w:rsid w:val="0055486C"/>
    <w:rsid w:val="00554BD3"/>
    <w:rsid w:val="00554E81"/>
    <w:rsid w:val="005553BD"/>
    <w:rsid w:val="00557140"/>
    <w:rsid w:val="005579A2"/>
    <w:rsid w:val="00557BA1"/>
    <w:rsid w:val="00560922"/>
    <w:rsid w:val="00561B29"/>
    <w:rsid w:val="00563276"/>
    <w:rsid w:val="005643E3"/>
    <w:rsid w:val="005644AC"/>
    <w:rsid w:val="00564618"/>
    <w:rsid w:val="0056551A"/>
    <w:rsid w:val="0056633B"/>
    <w:rsid w:val="00566358"/>
    <w:rsid w:val="005667BB"/>
    <w:rsid w:val="00566A2F"/>
    <w:rsid w:val="00567BC9"/>
    <w:rsid w:val="0057152D"/>
    <w:rsid w:val="00571FED"/>
    <w:rsid w:val="00572DAF"/>
    <w:rsid w:val="0057437F"/>
    <w:rsid w:val="0057474D"/>
    <w:rsid w:val="00574776"/>
    <w:rsid w:val="00574C2B"/>
    <w:rsid w:val="0057564E"/>
    <w:rsid w:val="005757BA"/>
    <w:rsid w:val="00576F83"/>
    <w:rsid w:val="00580C56"/>
    <w:rsid w:val="00580DAD"/>
    <w:rsid w:val="00581E8D"/>
    <w:rsid w:val="00583A74"/>
    <w:rsid w:val="00584293"/>
    <w:rsid w:val="005850D9"/>
    <w:rsid w:val="00585B8A"/>
    <w:rsid w:val="00587617"/>
    <w:rsid w:val="00587BF3"/>
    <w:rsid w:val="00590BC2"/>
    <w:rsid w:val="00591CC3"/>
    <w:rsid w:val="0059275D"/>
    <w:rsid w:val="005937BE"/>
    <w:rsid w:val="00593EB9"/>
    <w:rsid w:val="00595225"/>
    <w:rsid w:val="0059670C"/>
    <w:rsid w:val="0059692C"/>
    <w:rsid w:val="00597C0F"/>
    <w:rsid w:val="005A1548"/>
    <w:rsid w:val="005A1CA9"/>
    <w:rsid w:val="005A3354"/>
    <w:rsid w:val="005A3B59"/>
    <w:rsid w:val="005A45BA"/>
    <w:rsid w:val="005A4A72"/>
    <w:rsid w:val="005A5108"/>
    <w:rsid w:val="005A5383"/>
    <w:rsid w:val="005A689E"/>
    <w:rsid w:val="005A692D"/>
    <w:rsid w:val="005A7279"/>
    <w:rsid w:val="005A7D65"/>
    <w:rsid w:val="005A7FC8"/>
    <w:rsid w:val="005B02E8"/>
    <w:rsid w:val="005B1316"/>
    <w:rsid w:val="005B1763"/>
    <w:rsid w:val="005B3277"/>
    <w:rsid w:val="005B3ACF"/>
    <w:rsid w:val="005B49F4"/>
    <w:rsid w:val="005B4C3A"/>
    <w:rsid w:val="005B563D"/>
    <w:rsid w:val="005B5C1E"/>
    <w:rsid w:val="005B72B7"/>
    <w:rsid w:val="005C0345"/>
    <w:rsid w:val="005C2017"/>
    <w:rsid w:val="005C37EF"/>
    <w:rsid w:val="005C3A98"/>
    <w:rsid w:val="005C4D3D"/>
    <w:rsid w:val="005C6ADF"/>
    <w:rsid w:val="005C7184"/>
    <w:rsid w:val="005C762E"/>
    <w:rsid w:val="005C7949"/>
    <w:rsid w:val="005D0CD3"/>
    <w:rsid w:val="005D19D6"/>
    <w:rsid w:val="005D30F4"/>
    <w:rsid w:val="005D34EB"/>
    <w:rsid w:val="005D4075"/>
    <w:rsid w:val="005D428A"/>
    <w:rsid w:val="005D6170"/>
    <w:rsid w:val="005D7876"/>
    <w:rsid w:val="005D7F8F"/>
    <w:rsid w:val="005E1A3C"/>
    <w:rsid w:val="005E37A1"/>
    <w:rsid w:val="005E3B63"/>
    <w:rsid w:val="005E4D22"/>
    <w:rsid w:val="005E58BE"/>
    <w:rsid w:val="005E65B3"/>
    <w:rsid w:val="005E7DB9"/>
    <w:rsid w:val="005F0643"/>
    <w:rsid w:val="005F1E9B"/>
    <w:rsid w:val="005F36E5"/>
    <w:rsid w:val="005F438E"/>
    <w:rsid w:val="005F44BE"/>
    <w:rsid w:val="005F59B4"/>
    <w:rsid w:val="005F5D7C"/>
    <w:rsid w:val="005F76E4"/>
    <w:rsid w:val="00600D89"/>
    <w:rsid w:val="00601712"/>
    <w:rsid w:val="006019E6"/>
    <w:rsid w:val="00602BAC"/>
    <w:rsid w:val="00602EBA"/>
    <w:rsid w:val="00603470"/>
    <w:rsid w:val="0060371D"/>
    <w:rsid w:val="00603C67"/>
    <w:rsid w:val="00604170"/>
    <w:rsid w:val="0060479D"/>
    <w:rsid w:val="00604D84"/>
    <w:rsid w:val="006057C6"/>
    <w:rsid w:val="00606524"/>
    <w:rsid w:val="00606D7E"/>
    <w:rsid w:val="00606DBE"/>
    <w:rsid w:val="00607B2C"/>
    <w:rsid w:val="00607B82"/>
    <w:rsid w:val="00610105"/>
    <w:rsid w:val="00610807"/>
    <w:rsid w:val="00611533"/>
    <w:rsid w:val="006118D0"/>
    <w:rsid w:val="00614650"/>
    <w:rsid w:val="00614B38"/>
    <w:rsid w:val="00615DF7"/>
    <w:rsid w:val="00615FFB"/>
    <w:rsid w:val="0062023E"/>
    <w:rsid w:val="0062074F"/>
    <w:rsid w:val="00620751"/>
    <w:rsid w:val="0062209A"/>
    <w:rsid w:val="006222C7"/>
    <w:rsid w:val="0062290D"/>
    <w:rsid w:val="00622C34"/>
    <w:rsid w:val="00622C4D"/>
    <w:rsid w:val="0062318E"/>
    <w:rsid w:val="006232B9"/>
    <w:rsid w:val="00625321"/>
    <w:rsid w:val="006260DB"/>
    <w:rsid w:val="00627031"/>
    <w:rsid w:val="00627519"/>
    <w:rsid w:val="00631605"/>
    <w:rsid w:val="0063197E"/>
    <w:rsid w:val="00631D1E"/>
    <w:rsid w:val="0063220E"/>
    <w:rsid w:val="006348E0"/>
    <w:rsid w:val="00636312"/>
    <w:rsid w:val="00636C44"/>
    <w:rsid w:val="006373FF"/>
    <w:rsid w:val="006377F3"/>
    <w:rsid w:val="00637A02"/>
    <w:rsid w:val="00637F43"/>
    <w:rsid w:val="00640F3D"/>
    <w:rsid w:val="006410C1"/>
    <w:rsid w:val="0064191B"/>
    <w:rsid w:val="006425B7"/>
    <w:rsid w:val="00643670"/>
    <w:rsid w:val="00644585"/>
    <w:rsid w:val="006453E6"/>
    <w:rsid w:val="00645470"/>
    <w:rsid w:val="0064550D"/>
    <w:rsid w:val="00645C18"/>
    <w:rsid w:val="00646AE4"/>
    <w:rsid w:val="006472BD"/>
    <w:rsid w:val="00647AFB"/>
    <w:rsid w:val="00647DD4"/>
    <w:rsid w:val="00650068"/>
    <w:rsid w:val="00650C73"/>
    <w:rsid w:val="00652565"/>
    <w:rsid w:val="0065305F"/>
    <w:rsid w:val="0065327E"/>
    <w:rsid w:val="0065341D"/>
    <w:rsid w:val="00654401"/>
    <w:rsid w:val="006568C2"/>
    <w:rsid w:val="00656D2C"/>
    <w:rsid w:val="006600F3"/>
    <w:rsid w:val="00661460"/>
    <w:rsid w:val="00661D9C"/>
    <w:rsid w:val="0066216E"/>
    <w:rsid w:val="00662666"/>
    <w:rsid w:val="00662F02"/>
    <w:rsid w:val="00663FA7"/>
    <w:rsid w:val="006650C5"/>
    <w:rsid w:val="006663DC"/>
    <w:rsid w:val="00666988"/>
    <w:rsid w:val="00666EBB"/>
    <w:rsid w:val="00667498"/>
    <w:rsid w:val="0066774B"/>
    <w:rsid w:val="00667C6D"/>
    <w:rsid w:val="00667E1E"/>
    <w:rsid w:val="006717A2"/>
    <w:rsid w:val="00672BDE"/>
    <w:rsid w:val="006748D2"/>
    <w:rsid w:val="0067550C"/>
    <w:rsid w:val="006771ED"/>
    <w:rsid w:val="006772D2"/>
    <w:rsid w:val="00677A7C"/>
    <w:rsid w:val="00680073"/>
    <w:rsid w:val="006812F7"/>
    <w:rsid w:val="00684391"/>
    <w:rsid w:val="0068466E"/>
    <w:rsid w:val="00686852"/>
    <w:rsid w:val="00687A56"/>
    <w:rsid w:val="00691632"/>
    <w:rsid w:val="00692047"/>
    <w:rsid w:val="00692872"/>
    <w:rsid w:val="00692D02"/>
    <w:rsid w:val="00692DBC"/>
    <w:rsid w:val="00695858"/>
    <w:rsid w:val="00695887"/>
    <w:rsid w:val="0069671E"/>
    <w:rsid w:val="006A0735"/>
    <w:rsid w:val="006A149C"/>
    <w:rsid w:val="006A157C"/>
    <w:rsid w:val="006A2541"/>
    <w:rsid w:val="006A3102"/>
    <w:rsid w:val="006A356F"/>
    <w:rsid w:val="006A42CD"/>
    <w:rsid w:val="006A4C59"/>
    <w:rsid w:val="006A4EC1"/>
    <w:rsid w:val="006A5DC6"/>
    <w:rsid w:val="006A7100"/>
    <w:rsid w:val="006A726F"/>
    <w:rsid w:val="006A7322"/>
    <w:rsid w:val="006B112E"/>
    <w:rsid w:val="006B18C5"/>
    <w:rsid w:val="006B1DE3"/>
    <w:rsid w:val="006B2024"/>
    <w:rsid w:val="006B3193"/>
    <w:rsid w:val="006B399A"/>
    <w:rsid w:val="006B4501"/>
    <w:rsid w:val="006B4AE3"/>
    <w:rsid w:val="006B4E4A"/>
    <w:rsid w:val="006B54B9"/>
    <w:rsid w:val="006B56E4"/>
    <w:rsid w:val="006B5B20"/>
    <w:rsid w:val="006B669E"/>
    <w:rsid w:val="006B71B9"/>
    <w:rsid w:val="006C00EB"/>
    <w:rsid w:val="006C036B"/>
    <w:rsid w:val="006C1427"/>
    <w:rsid w:val="006C20A3"/>
    <w:rsid w:val="006C238A"/>
    <w:rsid w:val="006C272A"/>
    <w:rsid w:val="006C2795"/>
    <w:rsid w:val="006C312E"/>
    <w:rsid w:val="006C36BD"/>
    <w:rsid w:val="006C3E71"/>
    <w:rsid w:val="006C4F34"/>
    <w:rsid w:val="006C5484"/>
    <w:rsid w:val="006C5EDB"/>
    <w:rsid w:val="006C63CC"/>
    <w:rsid w:val="006D07AE"/>
    <w:rsid w:val="006D13DD"/>
    <w:rsid w:val="006D229A"/>
    <w:rsid w:val="006D3394"/>
    <w:rsid w:val="006D3497"/>
    <w:rsid w:val="006D3881"/>
    <w:rsid w:val="006D3973"/>
    <w:rsid w:val="006D43B0"/>
    <w:rsid w:val="006D473F"/>
    <w:rsid w:val="006D5582"/>
    <w:rsid w:val="006D636A"/>
    <w:rsid w:val="006D6916"/>
    <w:rsid w:val="006E0150"/>
    <w:rsid w:val="006E052E"/>
    <w:rsid w:val="006E0AAB"/>
    <w:rsid w:val="006E2B30"/>
    <w:rsid w:val="006E3C11"/>
    <w:rsid w:val="006E3E6A"/>
    <w:rsid w:val="006E4201"/>
    <w:rsid w:val="006E4814"/>
    <w:rsid w:val="006E483C"/>
    <w:rsid w:val="006E4A92"/>
    <w:rsid w:val="006E66BA"/>
    <w:rsid w:val="006E6786"/>
    <w:rsid w:val="006E6E1F"/>
    <w:rsid w:val="006E7CF8"/>
    <w:rsid w:val="006E7E2B"/>
    <w:rsid w:val="006F0EDC"/>
    <w:rsid w:val="006F1169"/>
    <w:rsid w:val="006F1751"/>
    <w:rsid w:val="006F2149"/>
    <w:rsid w:val="006F2C15"/>
    <w:rsid w:val="006F39D0"/>
    <w:rsid w:val="006F458B"/>
    <w:rsid w:val="006F61F0"/>
    <w:rsid w:val="006F694F"/>
    <w:rsid w:val="0070018D"/>
    <w:rsid w:val="007003F2"/>
    <w:rsid w:val="0070119E"/>
    <w:rsid w:val="00701512"/>
    <w:rsid w:val="007016E2"/>
    <w:rsid w:val="00701F77"/>
    <w:rsid w:val="00702569"/>
    <w:rsid w:val="00704A61"/>
    <w:rsid w:val="00704CE1"/>
    <w:rsid w:val="00704F7E"/>
    <w:rsid w:val="00706066"/>
    <w:rsid w:val="00707049"/>
    <w:rsid w:val="007070B6"/>
    <w:rsid w:val="00707387"/>
    <w:rsid w:val="007073DB"/>
    <w:rsid w:val="00707D31"/>
    <w:rsid w:val="00710B7B"/>
    <w:rsid w:val="00710DE2"/>
    <w:rsid w:val="0071188C"/>
    <w:rsid w:val="00712962"/>
    <w:rsid w:val="007147B6"/>
    <w:rsid w:val="00714D82"/>
    <w:rsid w:val="00714DC6"/>
    <w:rsid w:val="00714E35"/>
    <w:rsid w:val="007150DE"/>
    <w:rsid w:val="007163AB"/>
    <w:rsid w:val="007167AB"/>
    <w:rsid w:val="00716A0D"/>
    <w:rsid w:val="00716DAA"/>
    <w:rsid w:val="0071770B"/>
    <w:rsid w:val="007177E0"/>
    <w:rsid w:val="00720637"/>
    <w:rsid w:val="00720891"/>
    <w:rsid w:val="00720C21"/>
    <w:rsid w:val="0072146B"/>
    <w:rsid w:val="00721F57"/>
    <w:rsid w:val="00722297"/>
    <w:rsid w:val="007261EA"/>
    <w:rsid w:val="00727B3B"/>
    <w:rsid w:val="007308D7"/>
    <w:rsid w:val="00731966"/>
    <w:rsid w:val="00732BAA"/>
    <w:rsid w:val="007330CB"/>
    <w:rsid w:val="007332DB"/>
    <w:rsid w:val="007332E1"/>
    <w:rsid w:val="0073330C"/>
    <w:rsid w:val="00733E1E"/>
    <w:rsid w:val="00733F88"/>
    <w:rsid w:val="00734906"/>
    <w:rsid w:val="007358B5"/>
    <w:rsid w:val="00736CAC"/>
    <w:rsid w:val="00737069"/>
    <w:rsid w:val="0073776E"/>
    <w:rsid w:val="00740255"/>
    <w:rsid w:val="007405A1"/>
    <w:rsid w:val="007406F6"/>
    <w:rsid w:val="00740D06"/>
    <w:rsid w:val="007427AC"/>
    <w:rsid w:val="00745995"/>
    <w:rsid w:val="0074610B"/>
    <w:rsid w:val="00746749"/>
    <w:rsid w:val="00746B5B"/>
    <w:rsid w:val="00746DDE"/>
    <w:rsid w:val="00747282"/>
    <w:rsid w:val="0075088A"/>
    <w:rsid w:val="00751226"/>
    <w:rsid w:val="007512CC"/>
    <w:rsid w:val="00751E6D"/>
    <w:rsid w:val="00752346"/>
    <w:rsid w:val="00752DD5"/>
    <w:rsid w:val="007536B4"/>
    <w:rsid w:val="00753852"/>
    <w:rsid w:val="00757395"/>
    <w:rsid w:val="007574D9"/>
    <w:rsid w:val="0075751E"/>
    <w:rsid w:val="00757582"/>
    <w:rsid w:val="00757C7B"/>
    <w:rsid w:val="00757E64"/>
    <w:rsid w:val="0076110C"/>
    <w:rsid w:val="0076145F"/>
    <w:rsid w:val="00761810"/>
    <w:rsid w:val="00761B7F"/>
    <w:rsid w:val="00761BE3"/>
    <w:rsid w:val="007625F5"/>
    <w:rsid w:val="00762CF1"/>
    <w:rsid w:val="00763BE8"/>
    <w:rsid w:val="00763D77"/>
    <w:rsid w:val="00765857"/>
    <w:rsid w:val="00765E51"/>
    <w:rsid w:val="0076642E"/>
    <w:rsid w:val="0076642F"/>
    <w:rsid w:val="00766DC9"/>
    <w:rsid w:val="00767025"/>
    <w:rsid w:val="00767656"/>
    <w:rsid w:val="00770159"/>
    <w:rsid w:val="00770F67"/>
    <w:rsid w:val="00771405"/>
    <w:rsid w:val="0077143A"/>
    <w:rsid w:val="00771631"/>
    <w:rsid w:val="00772D50"/>
    <w:rsid w:val="00773343"/>
    <w:rsid w:val="00775D56"/>
    <w:rsid w:val="00775D7B"/>
    <w:rsid w:val="00776061"/>
    <w:rsid w:val="00776422"/>
    <w:rsid w:val="00776BE1"/>
    <w:rsid w:val="007773C0"/>
    <w:rsid w:val="00777D6D"/>
    <w:rsid w:val="00780379"/>
    <w:rsid w:val="00780D4F"/>
    <w:rsid w:val="00781549"/>
    <w:rsid w:val="00781C61"/>
    <w:rsid w:val="00782295"/>
    <w:rsid w:val="00782A13"/>
    <w:rsid w:val="0078435E"/>
    <w:rsid w:val="00784814"/>
    <w:rsid w:val="0078538F"/>
    <w:rsid w:val="007855D4"/>
    <w:rsid w:val="0078567A"/>
    <w:rsid w:val="00785D1D"/>
    <w:rsid w:val="00785E02"/>
    <w:rsid w:val="00793106"/>
    <w:rsid w:val="007933E3"/>
    <w:rsid w:val="0079486B"/>
    <w:rsid w:val="00795538"/>
    <w:rsid w:val="007A088B"/>
    <w:rsid w:val="007A1637"/>
    <w:rsid w:val="007A1BF3"/>
    <w:rsid w:val="007A254C"/>
    <w:rsid w:val="007A26A2"/>
    <w:rsid w:val="007A2B70"/>
    <w:rsid w:val="007A2BBA"/>
    <w:rsid w:val="007A2ED3"/>
    <w:rsid w:val="007A377F"/>
    <w:rsid w:val="007A44F2"/>
    <w:rsid w:val="007A6818"/>
    <w:rsid w:val="007A6960"/>
    <w:rsid w:val="007A7389"/>
    <w:rsid w:val="007A77AF"/>
    <w:rsid w:val="007A7A42"/>
    <w:rsid w:val="007B01C1"/>
    <w:rsid w:val="007B0B43"/>
    <w:rsid w:val="007B16DC"/>
    <w:rsid w:val="007B2BDB"/>
    <w:rsid w:val="007B3304"/>
    <w:rsid w:val="007B40F0"/>
    <w:rsid w:val="007B43EC"/>
    <w:rsid w:val="007B5731"/>
    <w:rsid w:val="007B680B"/>
    <w:rsid w:val="007B7334"/>
    <w:rsid w:val="007B7567"/>
    <w:rsid w:val="007C1148"/>
    <w:rsid w:val="007C1799"/>
    <w:rsid w:val="007C1C02"/>
    <w:rsid w:val="007C1D3E"/>
    <w:rsid w:val="007C2548"/>
    <w:rsid w:val="007C2619"/>
    <w:rsid w:val="007C2711"/>
    <w:rsid w:val="007C2A03"/>
    <w:rsid w:val="007C33B8"/>
    <w:rsid w:val="007C3AC3"/>
    <w:rsid w:val="007C54BC"/>
    <w:rsid w:val="007C6911"/>
    <w:rsid w:val="007C6BBA"/>
    <w:rsid w:val="007C7F4A"/>
    <w:rsid w:val="007D004C"/>
    <w:rsid w:val="007D06EA"/>
    <w:rsid w:val="007D0EFA"/>
    <w:rsid w:val="007D161D"/>
    <w:rsid w:val="007D2673"/>
    <w:rsid w:val="007D32C4"/>
    <w:rsid w:val="007D40B3"/>
    <w:rsid w:val="007D4638"/>
    <w:rsid w:val="007D49C2"/>
    <w:rsid w:val="007D4A7F"/>
    <w:rsid w:val="007D60BB"/>
    <w:rsid w:val="007D65E0"/>
    <w:rsid w:val="007E005A"/>
    <w:rsid w:val="007E0D15"/>
    <w:rsid w:val="007E3059"/>
    <w:rsid w:val="007E3199"/>
    <w:rsid w:val="007E4593"/>
    <w:rsid w:val="007E5110"/>
    <w:rsid w:val="007E5BC0"/>
    <w:rsid w:val="007E6873"/>
    <w:rsid w:val="007E7793"/>
    <w:rsid w:val="007F159E"/>
    <w:rsid w:val="007F2AC0"/>
    <w:rsid w:val="007F2FD9"/>
    <w:rsid w:val="007F3287"/>
    <w:rsid w:val="007F328D"/>
    <w:rsid w:val="007F39DD"/>
    <w:rsid w:val="007F3B4D"/>
    <w:rsid w:val="007F46B3"/>
    <w:rsid w:val="007F5B94"/>
    <w:rsid w:val="007F7353"/>
    <w:rsid w:val="007F7374"/>
    <w:rsid w:val="007F76ED"/>
    <w:rsid w:val="007F7B50"/>
    <w:rsid w:val="007F7BED"/>
    <w:rsid w:val="00801538"/>
    <w:rsid w:val="00801D99"/>
    <w:rsid w:val="00802674"/>
    <w:rsid w:val="00802A14"/>
    <w:rsid w:val="0080324A"/>
    <w:rsid w:val="008032F5"/>
    <w:rsid w:val="0080423F"/>
    <w:rsid w:val="00804AEB"/>
    <w:rsid w:val="00804F77"/>
    <w:rsid w:val="008069BC"/>
    <w:rsid w:val="0080717A"/>
    <w:rsid w:val="00807B87"/>
    <w:rsid w:val="008103B8"/>
    <w:rsid w:val="00810E74"/>
    <w:rsid w:val="00810FCD"/>
    <w:rsid w:val="008114EF"/>
    <w:rsid w:val="00811DC6"/>
    <w:rsid w:val="00812B02"/>
    <w:rsid w:val="008132BB"/>
    <w:rsid w:val="008137D3"/>
    <w:rsid w:val="0081396E"/>
    <w:rsid w:val="008154BE"/>
    <w:rsid w:val="008161C4"/>
    <w:rsid w:val="00816697"/>
    <w:rsid w:val="00816EC0"/>
    <w:rsid w:val="00817A70"/>
    <w:rsid w:val="00817D30"/>
    <w:rsid w:val="0082133C"/>
    <w:rsid w:val="00821433"/>
    <w:rsid w:val="0082201B"/>
    <w:rsid w:val="008224A5"/>
    <w:rsid w:val="00822F2A"/>
    <w:rsid w:val="008243D9"/>
    <w:rsid w:val="00826ACF"/>
    <w:rsid w:val="00827398"/>
    <w:rsid w:val="008278EF"/>
    <w:rsid w:val="00830999"/>
    <w:rsid w:val="008310CA"/>
    <w:rsid w:val="00831968"/>
    <w:rsid w:val="0083623E"/>
    <w:rsid w:val="00836F40"/>
    <w:rsid w:val="008375F9"/>
    <w:rsid w:val="00837781"/>
    <w:rsid w:val="00840014"/>
    <w:rsid w:val="008417E2"/>
    <w:rsid w:val="00842BB3"/>
    <w:rsid w:val="00843DE1"/>
    <w:rsid w:val="00844002"/>
    <w:rsid w:val="00845274"/>
    <w:rsid w:val="00846144"/>
    <w:rsid w:val="008469A8"/>
    <w:rsid w:val="00846A3A"/>
    <w:rsid w:val="008504E5"/>
    <w:rsid w:val="00850637"/>
    <w:rsid w:val="008506FD"/>
    <w:rsid w:val="00851AB0"/>
    <w:rsid w:val="0085228E"/>
    <w:rsid w:val="008579A9"/>
    <w:rsid w:val="00860F91"/>
    <w:rsid w:val="00861806"/>
    <w:rsid w:val="00861EAE"/>
    <w:rsid w:val="008636D0"/>
    <w:rsid w:val="0086400C"/>
    <w:rsid w:val="0086423B"/>
    <w:rsid w:val="00864E9C"/>
    <w:rsid w:val="008671EE"/>
    <w:rsid w:val="00867207"/>
    <w:rsid w:val="008703EF"/>
    <w:rsid w:val="008706CF"/>
    <w:rsid w:val="008721B6"/>
    <w:rsid w:val="008727E5"/>
    <w:rsid w:val="00872EDD"/>
    <w:rsid w:val="008732B7"/>
    <w:rsid w:val="00873D1C"/>
    <w:rsid w:val="00874205"/>
    <w:rsid w:val="0087486E"/>
    <w:rsid w:val="008756AF"/>
    <w:rsid w:val="00875899"/>
    <w:rsid w:val="008759F4"/>
    <w:rsid w:val="008768FD"/>
    <w:rsid w:val="00876A15"/>
    <w:rsid w:val="00876BF3"/>
    <w:rsid w:val="0087770C"/>
    <w:rsid w:val="008778FD"/>
    <w:rsid w:val="00880B58"/>
    <w:rsid w:val="0088191D"/>
    <w:rsid w:val="00883E2D"/>
    <w:rsid w:val="008847ED"/>
    <w:rsid w:val="0088533A"/>
    <w:rsid w:val="008859B6"/>
    <w:rsid w:val="008866FE"/>
    <w:rsid w:val="00887636"/>
    <w:rsid w:val="0088766B"/>
    <w:rsid w:val="00887C5B"/>
    <w:rsid w:val="00891CD6"/>
    <w:rsid w:val="0089253B"/>
    <w:rsid w:val="008934D0"/>
    <w:rsid w:val="00893F6F"/>
    <w:rsid w:val="00894F8D"/>
    <w:rsid w:val="00895BBE"/>
    <w:rsid w:val="0089722B"/>
    <w:rsid w:val="00897CBB"/>
    <w:rsid w:val="008A0B07"/>
    <w:rsid w:val="008A0D3B"/>
    <w:rsid w:val="008A1AFD"/>
    <w:rsid w:val="008A3550"/>
    <w:rsid w:val="008A38FB"/>
    <w:rsid w:val="008A3C17"/>
    <w:rsid w:val="008A3D94"/>
    <w:rsid w:val="008A524A"/>
    <w:rsid w:val="008A53E7"/>
    <w:rsid w:val="008B00FC"/>
    <w:rsid w:val="008B1018"/>
    <w:rsid w:val="008B1133"/>
    <w:rsid w:val="008B1377"/>
    <w:rsid w:val="008B137F"/>
    <w:rsid w:val="008B24C4"/>
    <w:rsid w:val="008B2A1D"/>
    <w:rsid w:val="008B2B8C"/>
    <w:rsid w:val="008B30F4"/>
    <w:rsid w:val="008B3416"/>
    <w:rsid w:val="008B434B"/>
    <w:rsid w:val="008B4597"/>
    <w:rsid w:val="008B6820"/>
    <w:rsid w:val="008B6CF1"/>
    <w:rsid w:val="008B6E16"/>
    <w:rsid w:val="008B7D1D"/>
    <w:rsid w:val="008C0D76"/>
    <w:rsid w:val="008C0F8A"/>
    <w:rsid w:val="008C0FB4"/>
    <w:rsid w:val="008C1D86"/>
    <w:rsid w:val="008C1E43"/>
    <w:rsid w:val="008C20E7"/>
    <w:rsid w:val="008C211E"/>
    <w:rsid w:val="008C345D"/>
    <w:rsid w:val="008C45E9"/>
    <w:rsid w:val="008C5E06"/>
    <w:rsid w:val="008C6551"/>
    <w:rsid w:val="008C6A1E"/>
    <w:rsid w:val="008D04DC"/>
    <w:rsid w:val="008D059D"/>
    <w:rsid w:val="008D0FDA"/>
    <w:rsid w:val="008D2327"/>
    <w:rsid w:val="008D261F"/>
    <w:rsid w:val="008D2727"/>
    <w:rsid w:val="008D278F"/>
    <w:rsid w:val="008D38CD"/>
    <w:rsid w:val="008D3F87"/>
    <w:rsid w:val="008D78E7"/>
    <w:rsid w:val="008D7A32"/>
    <w:rsid w:val="008E0273"/>
    <w:rsid w:val="008E076D"/>
    <w:rsid w:val="008E10C2"/>
    <w:rsid w:val="008E261D"/>
    <w:rsid w:val="008E4744"/>
    <w:rsid w:val="008E4818"/>
    <w:rsid w:val="008E5C9A"/>
    <w:rsid w:val="008E5DAA"/>
    <w:rsid w:val="008E68BC"/>
    <w:rsid w:val="008E77FB"/>
    <w:rsid w:val="008E7C3B"/>
    <w:rsid w:val="008F0D1F"/>
    <w:rsid w:val="008F145F"/>
    <w:rsid w:val="008F1FED"/>
    <w:rsid w:val="008F3371"/>
    <w:rsid w:val="008F3540"/>
    <w:rsid w:val="008F3CF2"/>
    <w:rsid w:val="008F427E"/>
    <w:rsid w:val="008F4663"/>
    <w:rsid w:val="008F55E2"/>
    <w:rsid w:val="008F5D72"/>
    <w:rsid w:val="008F6022"/>
    <w:rsid w:val="008F777B"/>
    <w:rsid w:val="008F782D"/>
    <w:rsid w:val="008F7948"/>
    <w:rsid w:val="008F7E30"/>
    <w:rsid w:val="0090000F"/>
    <w:rsid w:val="009004BD"/>
    <w:rsid w:val="009050DA"/>
    <w:rsid w:val="00905230"/>
    <w:rsid w:val="009053EF"/>
    <w:rsid w:val="00905F41"/>
    <w:rsid w:val="0090663F"/>
    <w:rsid w:val="00906FCC"/>
    <w:rsid w:val="00907526"/>
    <w:rsid w:val="009101D0"/>
    <w:rsid w:val="009114DA"/>
    <w:rsid w:val="0091181A"/>
    <w:rsid w:val="00911D66"/>
    <w:rsid w:val="00912160"/>
    <w:rsid w:val="00912AFC"/>
    <w:rsid w:val="00912C89"/>
    <w:rsid w:val="0091318A"/>
    <w:rsid w:val="00913A93"/>
    <w:rsid w:val="00914616"/>
    <w:rsid w:val="00914DD0"/>
    <w:rsid w:val="00915EC8"/>
    <w:rsid w:val="00920291"/>
    <w:rsid w:val="00921AE4"/>
    <w:rsid w:val="00922DA3"/>
    <w:rsid w:val="00923431"/>
    <w:rsid w:val="0092373F"/>
    <w:rsid w:val="0092403F"/>
    <w:rsid w:val="00924B5A"/>
    <w:rsid w:val="0092783E"/>
    <w:rsid w:val="00927CAA"/>
    <w:rsid w:val="00927CCB"/>
    <w:rsid w:val="0093020D"/>
    <w:rsid w:val="00931139"/>
    <w:rsid w:val="0093120C"/>
    <w:rsid w:val="00931B9C"/>
    <w:rsid w:val="00933FBA"/>
    <w:rsid w:val="009343CA"/>
    <w:rsid w:val="00934D30"/>
    <w:rsid w:val="00935929"/>
    <w:rsid w:val="0093755C"/>
    <w:rsid w:val="009403FA"/>
    <w:rsid w:val="00941FE3"/>
    <w:rsid w:val="00942858"/>
    <w:rsid w:val="00942B37"/>
    <w:rsid w:val="00944C1C"/>
    <w:rsid w:val="00945304"/>
    <w:rsid w:val="00945FE0"/>
    <w:rsid w:val="0094792C"/>
    <w:rsid w:val="0095026E"/>
    <w:rsid w:val="00950A19"/>
    <w:rsid w:val="00951121"/>
    <w:rsid w:val="00951653"/>
    <w:rsid w:val="00951C31"/>
    <w:rsid w:val="00951C8F"/>
    <w:rsid w:val="00952E33"/>
    <w:rsid w:val="00953BCD"/>
    <w:rsid w:val="009544FC"/>
    <w:rsid w:val="00954510"/>
    <w:rsid w:val="009546AE"/>
    <w:rsid w:val="00954E59"/>
    <w:rsid w:val="009550E3"/>
    <w:rsid w:val="00955195"/>
    <w:rsid w:val="009554E9"/>
    <w:rsid w:val="0095593E"/>
    <w:rsid w:val="00955D0B"/>
    <w:rsid w:val="00955DAA"/>
    <w:rsid w:val="00956326"/>
    <w:rsid w:val="00960142"/>
    <w:rsid w:val="00960658"/>
    <w:rsid w:val="00960A2D"/>
    <w:rsid w:val="00960BB5"/>
    <w:rsid w:val="00961806"/>
    <w:rsid w:val="009639CA"/>
    <w:rsid w:val="00963D4A"/>
    <w:rsid w:val="00965966"/>
    <w:rsid w:val="009659FD"/>
    <w:rsid w:val="009667A7"/>
    <w:rsid w:val="00966ECB"/>
    <w:rsid w:val="00967250"/>
    <w:rsid w:val="00971228"/>
    <w:rsid w:val="00972086"/>
    <w:rsid w:val="009738D8"/>
    <w:rsid w:val="009756EB"/>
    <w:rsid w:val="00975940"/>
    <w:rsid w:val="009761BC"/>
    <w:rsid w:val="0097674A"/>
    <w:rsid w:val="00977A36"/>
    <w:rsid w:val="00977DE8"/>
    <w:rsid w:val="0098123A"/>
    <w:rsid w:val="0098142C"/>
    <w:rsid w:val="00981575"/>
    <w:rsid w:val="00982572"/>
    <w:rsid w:val="00983324"/>
    <w:rsid w:val="00983E33"/>
    <w:rsid w:val="00983FE4"/>
    <w:rsid w:val="00984BA5"/>
    <w:rsid w:val="00984FFB"/>
    <w:rsid w:val="00984FFD"/>
    <w:rsid w:val="00985325"/>
    <w:rsid w:val="009876EC"/>
    <w:rsid w:val="00990F23"/>
    <w:rsid w:val="00990FD6"/>
    <w:rsid w:val="00991A59"/>
    <w:rsid w:val="00992CFE"/>
    <w:rsid w:val="00993BED"/>
    <w:rsid w:val="00993D43"/>
    <w:rsid w:val="00994791"/>
    <w:rsid w:val="00994ABC"/>
    <w:rsid w:val="00994CAD"/>
    <w:rsid w:val="009950AE"/>
    <w:rsid w:val="009A063C"/>
    <w:rsid w:val="009A0C06"/>
    <w:rsid w:val="009A1ACC"/>
    <w:rsid w:val="009A2984"/>
    <w:rsid w:val="009A2B52"/>
    <w:rsid w:val="009A2B83"/>
    <w:rsid w:val="009A48FF"/>
    <w:rsid w:val="009A5731"/>
    <w:rsid w:val="009A7756"/>
    <w:rsid w:val="009B006D"/>
    <w:rsid w:val="009B2460"/>
    <w:rsid w:val="009B2D2D"/>
    <w:rsid w:val="009B34AB"/>
    <w:rsid w:val="009B3B78"/>
    <w:rsid w:val="009B45A9"/>
    <w:rsid w:val="009B598F"/>
    <w:rsid w:val="009B662D"/>
    <w:rsid w:val="009B6A77"/>
    <w:rsid w:val="009B7510"/>
    <w:rsid w:val="009C1210"/>
    <w:rsid w:val="009C1DB2"/>
    <w:rsid w:val="009C2671"/>
    <w:rsid w:val="009C2AF7"/>
    <w:rsid w:val="009C3B45"/>
    <w:rsid w:val="009C469B"/>
    <w:rsid w:val="009C65F6"/>
    <w:rsid w:val="009C6D12"/>
    <w:rsid w:val="009C7556"/>
    <w:rsid w:val="009C79B2"/>
    <w:rsid w:val="009D0C70"/>
    <w:rsid w:val="009D1BBE"/>
    <w:rsid w:val="009D2582"/>
    <w:rsid w:val="009D3566"/>
    <w:rsid w:val="009D3DDB"/>
    <w:rsid w:val="009D6265"/>
    <w:rsid w:val="009D6576"/>
    <w:rsid w:val="009D6931"/>
    <w:rsid w:val="009D6C62"/>
    <w:rsid w:val="009D74C3"/>
    <w:rsid w:val="009D7B69"/>
    <w:rsid w:val="009D7F62"/>
    <w:rsid w:val="009E0C87"/>
    <w:rsid w:val="009E0E71"/>
    <w:rsid w:val="009E23AD"/>
    <w:rsid w:val="009E26DD"/>
    <w:rsid w:val="009E295A"/>
    <w:rsid w:val="009E37DF"/>
    <w:rsid w:val="009E3BFB"/>
    <w:rsid w:val="009E3F56"/>
    <w:rsid w:val="009E44A4"/>
    <w:rsid w:val="009E46E3"/>
    <w:rsid w:val="009E4A8E"/>
    <w:rsid w:val="009E4CDD"/>
    <w:rsid w:val="009E5094"/>
    <w:rsid w:val="009E5A70"/>
    <w:rsid w:val="009F0216"/>
    <w:rsid w:val="009F0250"/>
    <w:rsid w:val="009F0854"/>
    <w:rsid w:val="009F0A9F"/>
    <w:rsid w:val="009F0CC6"/>
    <w:rsid w:val="009F229E"/>
    <w:rsid w:val="009F26F6"/>
    <w:rsid w:val="009F4375"/>
    <w:rsid w:val="009F49C2"/>
    <w:rsid w:val="009F50AD"/>
    <w:rsid w:val="009F56CE"/>
    <w:rsid w:val="009F5926"/>
    <w:rsid w:val="009F61D1"/>
    <w:rsid w:val="009F6D75"/>
    <w:rsid w:val="009F7A9F"/>
    <w:rsid w:val="00A008B6"/>
    <w:rsid w:val="00A01342"/>
    <w:rsid w:val="00A0158E"/>
    <w:rsid w:val="00A01666"/>
    <w:rsid w:val="00A0198A"/>
    <w:rsid w:val="00A039BC"/>
    <w:rsid w:val="00A03E79"/>
    <w:rsid w:val="00A044E1"/>
    <w:rsid w:val="00A04D9C"/>
    <w:rsid w:val="00A04EE4"/>
    <w:rsid w:val="00A05368"/>
    <w:rsid w:val="00A067A2"/>
    <w:rsid w:val="00A06B31"/>
    <w:rsid w:val="00A06E9A"/>
    <w:rsid w:val="00A06F46"/>
    <w:rsid w:val="00A07F43"/>
    <w:rsid w:val="00A100DE"/>
    <w:rsid w:val="00A108CF"/>
    <w:rsid w:val="00A10ED6"/>
    <w:rsid w:val="00A11BB8"/>
    <w:rsid w:val="00A13114"/>
    <w:rsid w:val="00A13C3E"/>
    <w:rsid w:val="00A141A6"/>
    <w:rsid w:val="00A1534C"/>
    <w:rsid w:val="00A15A38"/>
    <w:rsid w:val="00A16CB3"/>
    <w:rsid w:val="00A20591"/>
    <w:rsid w:val="00A211E7"/>
    <w:rsid w:val="00A22B8F"/>
    <w:rsid w:val="00A2314D"/>
    <w:rsid w:val="00A233CC"/>
    <w:rsid w:val="00A239C3"/>
    <w:rsid w:val="00A23D03"/>
    <w:rsid w:val="00A24FE2"/>
    <w:rsid w:val="00A252E6"/>
    <w:rsid w:val="00A26B0D"/>
    <w:rsid w:val="00A278C5"/>
    <w:rsid w:val="00A279CD"/>
    <w:rsid w:val="00A3113F"/>
    <w:rsid w:val="00A3179F"/>
    <w:rsid w:val="00A323B7"/>
    <w:rsid w:val="00A3440B"/>
    <w:rsid w:val="00A35D3D"/>
    <w:rsid w:val="00A3669D"/>
    <w:rsid w:val="00A371E6"/>
    <w:rsid w:val="00A374B9"/>
    <w:rsid w:val="00A379DC"/>
    <w:rsid w:val="00A40535"/>
    <w:rsid w:val="00A40D13"/>
    <w:rsid w:val="00A40E54"/>
    <w:rsid w:val="00A40E84"/>
    <w:rsid w:val="00A425F0"/>
    <w:rsid w:val="00A44DCF"/>
    <w:rsid w:val="00A44F4C"/>
    <w:rsid w:val="00A4506C"/>
    <w:rsid w:val="00A454C9"/>
    <w:rsid w:val="00A46108"/>
    <w:rsid w:val="00A478AA"/>
    <w:rsid w:val="00A47B83"/>
    <w:rsid w:val="00A47C5A"/>
    <w:rsid w:val="00A47F55"/>
    <w:rsid w:val="00A5097A"/>
    <w:rsid w:val="00A51BB4"/>
    <w:rsid w:val="00A52F8B"/>
    <w:rsid w:val="00A53130"/>
    <w:rsid w:val="00A53148"/>
    <w:rsid w:val="00A53263"/>
    <w:rsid w:val="00A534EF"/>
    <w:rsid w:val="00A5388D"/>
    <w:rsid w:val="00A54056"/>
    <w:rsid w:val="00A54EA8"/>
    <w:rsid w:val="00A55564"/>
    <w:rsid w:val="00A55729"/>
    <w:rsid w:val="00A57B55"/>
    <w:rsid w:val="00A619D4"/>
    <w:rsid w:val="00A62C6B"/>
    <w:rsid w:val="00A63569"/>
    <w:rsid w:val="00A63648"/>
    <w:rsid w:val="00A63833"/>
    <w:rsid w:val="00A64CA7"/>
    <w:rsid w:val="00A65E22"/>
    <w:rsid w:val="00A6610A"/>
    <w:rsid w:val="00A67B0E"/>
    <w:rsid w:val="00A67F13"/>
    <w:rsid w:val="00A70254"/>
    <w:rsid w:val="00A7161A"/>
    <w:rsid w:val="00A71FAE"/>
    <w:rsid w:val="00A73426"/>
    <w:rsid w:val="00A751F2"/>
    <w:rsid w:val="00A7536F"/>
    <w:rsid w:val="00A757E8"/>
    <w:rsid w:val="00A75B4D"/>
    <w:rsid w:val="00A75C0E"/>
    <w:rsid w:val="00A768F9"/>
    <w:rsid w:val="00A76EE1"/>
    <w:rsid w:val="00A800BA"/>
    <w:rsid w:val="00A80233"/>
    <w:rsid w:val="00A80F70"/>
    <w:rsid w:val="00A81982"/>
    <w:rsid w:val="00A82166"/>
    <w:rsid w:val="00A82F50"/>
    <w:rsid w:val="00A8483C"/>
    <w:rsid w:val="00A86E5C"/>
    <w:rsid w:val="00A87364"/>
    <w:rsid w:val="00A90C7D"/>
    <w:rsid w:val="00A912B6"/>
    <w:rsid w:val="00A91601"/>
    <w:rsid w:val="00A925A9"/>
    <w:rsid w:val="00A935ED"/>
    <w:rsid w:val="00A94F65"/>
    <w:rsid w:val="00A95218"/>
    <w:rsid w:val="00A96A69"/>
    <w:rsid w:val="00AA100F"/>
    <w:rsid w:val="00AA16E3"/>
    <w:rsid w:val="00AA1E1A"/>
    <w:rsid w:val="00AA2084"/>
    <w:rsid w:val="00AA33FC"/>
    <w:rsid w:val="00AA3E25"/>
    <w:rsid w:val="00AA787F"/>
    <w:rsid w:val="00AA7FB4"/>
    <w:rsid w:val="00AB04DB"/>
    <w:rsid w:val="00AB09BA"/>
    <w:rsid w:val="00AB0D41"/>
    <w:rsid w:val="00AB1A76"/>
    <w:rsid w:val="00AB2A15"/>
    <w:rsid w:val="00AB2F76"/>
    <w:rsid w:val="00AB3051"/>
    <w:rsid w:val="00AB7128"/>
    <w:rsid w:val="00AB732B"/>
    <w:rsid w:val="00AC0123"/>
    <w:rsid w:val="00AC1228"/>
    <w:rsid w:val="00AC1C60"/>
    <w:rsid w:val="00AC1F08"/>
    <w:rsid w:val="00AC2516"/>
    <w:rsid w:val="00AC2B74"/>
    <w:rsid w:val="00AC2D2C"/>
    <w:rsid w:val="00AC4CE4"/>
    <w:rsid w:val="00AC62E4"/>
    <w:rsid w:val="00AC7257"/>
    <w:rsid w:val="00AC7BE6"/>
    <w:rsid w:val="00AC7C92"/>
    <w:rsid w:val="00AD0AB6"/>
    <w:rsid w:val="00AD1522"/>
    <w:rsid w:val="00AD1BC2"/>
    <w:rsid w:val="00AD2427"/>
    <w:rsid w:val="00AD3060"/>
    <w:rsid w:val="00AD35B0"/>
    <w:rsid w:val="00AD35FA"/>
    <w:rsid w:val="00AD381F"/>
    <w:rsid w:val="00AD4144"/>
    <w:rsid w:val="00AD415A"/>
    <w:rsid w:val="00AD4FF6"/>
    <w:rsid w:val="00AD50EE"/>
    <w:rsid w:val="00AD6077"/>
    <w:rsid w:val="00AE0200"/>
    <w:rsid w:val="00AE0510"/>
    <w:rsid w:val="00AE0CB3"/>
    <w:rsid w:val="00AE175E"/>
    <w:rsid w:val="00AE2072"/>
    <w:rsid w:val="00AE213F"/>
    <w:rsid w:val="00AE223E"/>
    <w:rsid w:val="00AE32DF"/>
    <w:rsid w:val="00AE4B38"/>
    <w:rsid w:val="00AE57E6"/>
    <w:rsid w:val="00AE5B2B"/>
    <w:rsid w:val="00AF0325"/>
    <w:rsid w:val="00AF0C4D"/>
    <w:rsid w:val="00AF0E4A"/>
    <w:rsid w:val="00AF0EF8"/>
    <w:rsid w:val="00AF156B"/>
    <w:rsid w:val="00AF3269"/>
    <w:rsid w:val="00AF466C"/>
    <w:rsid w:val="00AF4DB9"/>
    <w:rsid w:val="00AF4FB6"/>
    <w:rsid w:val="00AF58A5"/>
    <w:rsid w:val="00AF79EC"/>
    <w:rsid w:val="00B005A0"/>
    <w:rsid w:val="00B017C2"/>
    <w:rsid w:val="00B01A26"/>
    <w:rsid w:val="00B01E99"/>
    <w:rsid w:val="00B02302"/>
    <w:rsid w:val="00B02720"/>
    <w:rsid w:val="00B027EC"/>
    <w:rsid w:val="00B03B83"/>
    <w:rsid w:val="00B04658"/>
    <w:rsid w:val="00B04BF1"/>
    <w:rsid w:val="00B05E3F"/>
    <w:rsid w:val="00B0668C"/>
    <w:rsid w:val="00B07103"/>
    <w:rsid w:val="00B0778C"/>
    <w:rsid w:val="00B07B21"/>
    <w:rsid w:val="00B109C5"/>
    <w:rsid w:val="00B109CE"/>
    <w:rsid w:val="00B11339"/>
    <w:rsid w:val="00B118F7"/>
    <w:rsid w:val="00B11C43"/>
    <w:rsid w:val="00B11F9A"/>
    <w:rsid w:val="00B12E9E"/>
    <w:rsid w:val="00B1309A"/>
    <w:rsid w:val="00B13297"/>
    <w:rsid w:val="00B134B5"/>
    <w:rsid w:val="00B13CB5"/>
    <w:rsid w:val="00B13D41"/>
    <w:rsid w:val="00B147E0"/>
    <w:rsid w:val="00B152AB"/>
    <w:rsid w:val="00B1590E"/>
    <w:rsid w:val="00B16E8D"/>
    <w:rsid w:val="00B21432"/>
    <w:rsid w:val="00B21448"/>
    <w:rsid w:val="00B2185B"/>
    <w:rsid w:val="00B223E3"/>
    <w:rsid w:val="00B22737"/>
    <w:rsid w:val="00B227E7"/>
    <w:rsid w:val="00B2445B"/>
    <w:rsid w:val="00B2494E"/>
    <w:rsid w:val="00B24C36"/>
    <w:rsid w:val="00B254CB"/>
    <w:rsid w:val="00B25821"/>
    <w:rsid w:val="00B263A0"/>
    <w:rsid w:val="00B2700C"/>
    <w:rsid w:val="00B27257"/>
    <w:rsid w:val="00B3072F"/>
    <w:rsid w:val="00B30E81"/>
    <w:rsid w:val="00B33FF7"/>
    <w:rsid w:val="00B34DCA"/>
    <w:rsid w:val="00B35878"/>
    <w:rsid w:val="00B361E3"/>
    <w:rsid w:val="00B36366"/>
    <w:rsid w:val="00B365E0"/>
    <w:rsid w:val="00B36E4D"/>
    <w:rsid w:val="00B36F2B"/>
    <w:rsid w:val="00B404EF"/>
    <w:rsid w:val="00B40A19"/>
    <w:rsid w:val="00B417D8"/>
    <w:rsid w:val="00B426D6"/>
    <w:rsid w:val="00B4346D"/>
    <w:rsid w:val="00B442C5"/>
    <w:rsid w:val="00B44538"/>
    <w:rsid w:val="00B45425"/>
    <w:rsid w:val="00B457F1"/>
    <w:rsid w:val="00B45D50"/>
    <w:rsid w:val="00B4798F"/>
    <w:rsid w:val="00B501A5"/>
    <w:rsid w:val="00B50A45"/>
    <w:rsid w:val="00B51385"/>
    <w:rsid w:val="00B51411"/>
    <w:rsid w:val="00B51B8F"/>
    <w:rsid w:val="00B51F23"/>
    <w:rsid w:val="00B53465"/>
    <w:rsid w:val="00B54AC0"/>
    <w:rsid w:val="00B54D7D"/>
    <w:rsid w:val="00B5567B"/>
    <w:rsid w:val="00B55FCD"/>
    <w:rsid w:val="00B5723E"/>
    <w:rsid w:val="00B57F11"/>
    <w:rsid w:val="00B614C2"/>
    <w:rsid w:val="00B62273"/>
    <w:rsid w:val="00B625A1"/>
    <w:rsid w:val="00B625CA"/>
    <w:rsid w:val="00B62AC9"/>
    <w:rsid w:val="00B62D5D"/>
    <w:rsid w:val="00B63573"/>
    <w:rsid w:val="00B636B9"/>
    <w:rsid w:val="00B639E1"/>
    <w:rsid w:val="00B64D3F"/>
    <w:rsid w:val="00B65B38"/>
    <w:rsid w:val="00B66903"/>
    <w:rsid w:val="00B66A29"/>
    <w:rsid w:val="00B70CA6"/>
    <w:rsid w:val="00B70E3E"/>
    <w:rsid w:val="00B71FB0"/>
    <w:rsid w:val="00B72EF4"/>
    <w:rsid w:val="00B731B7"/>
    <w:rsid w:val="00B73A81"/>
    <w:rsid w:val="00B73BDC"/>
    <w:rsid w:val="00B74A35"/>
    <w:rsid w:val="00B74C16"/>
    <w:rsid w:val="00B75D67"/>
    <w:rsid w:val="00B769E3"/>
    <w:rsid w:val="00B76DBC"/>
    <w:rsid w:val="00B80F18"/>
    <w:rsid w:val="00B8235E"/>
    <w:rsid w:val="00B8255B"/>
    <w:rsid w:val="00B82EE1"/>
    <w:rsid w:val="00B83345"/>
    <w:rsid w:val="00B84199"/>
    <w:rsid w:val="00B85549"/>
    <w:rsid w:val="00B8567E"/>
    <w:rsid w:val="00B8585B"/>
    <w:rsid w:val="00B87539"/>
    <w:rsid w:val="00B87D6B"/>
    <w:rsid w:val="00B90473"/>
    <w:rsid w:val="00B90527"/>
    <w:rsid w:val="00B913D4"/>
    <w:rsid w:val="00B92444"/>
    <w:rsid w:val="00B92D35"/>
    <w:rsid w:val="00B93C8A"/>
    <w:rsid w:val="00B95251"/>
    <w:rsid w:val="00B9526B"/>
    <w:rsid w:val="00B97A57"/>
    <w:rsid w:val="00BA01E3"/>
    <w:rsid w:val="00BA0F68"/>
    <w:rsid w:val="00BA13D9"/>
    <w:rsid w:val="00BA1980"/>
    <w:rsid w:val="00BA2A59"/>
    <w:rsid w:val="00BA32E1"/>
    <w:rsid w:val="00BA40C5"/>
    <w:rsid w:val="00BA444F"/>
    <w:rsid w:val="00BA465B"/>
    <w:rsid w:val="00BA4E0C"/>
    <w:rsid w:val="00BA521B"/>
    <w:rsid w:val="00BA5DA6"/>
    <w:rsid w:val="00BA6D4A"/>
    <w:rsid w:val="00BA6E44"/>
    <w:rsid w:val="00BA7050"/>
    <w:rsid w:val="00BB05AA"/>
    <w:rsid w:val="00BB1728"/>
    <w:rsid w:val="00BB18EF"/>
    <w:rsid w:val="00BB2159"/>
    <w:rsid w:val="00BB3492"/>
    <w:rsid w:val="00BB54D7"/>
    <w:rsid w:val="00BB54E7"/>
    <w:rsid w:val="00BB54E8"/>
    <w:rsid w:val="00BB6B8F"/>
    <w:rsid w:val="00BB7271"/>
    <w:rsid w:val="00BB781B"/>
    <w:rsid w:val="00BC0004"/>
    <w:rsid w:val="00BC2790"/>
    <w:rsid w:val="00BC29E8"/>
    <w:rsid w:val="00BC2ABA"/>
    <w:rsid w:val="00BC2CB5"/>
    <w:rsid w:val="00BC3011"/>
    <w:rsid w:val="00BC371D"/>
    <w:rsid w:val="00BC377B"/>
    <w:rsid w:val="00BC3EDF"/>
    <w:rsid w:val="00BC5C65"/>
    <w:rsid w:val="00BC713B"/>
    <w:rsid w:val="00BC77F2"/>
    <w:rsid w:val="00BC79E2"/>
    <w:rsid w:val="00BC7A50"/>
    <w:rsid w:val="00BD0008"/>
    <w:rsid w:val="00BD1375"/>
    <w:rsid w:val="00BD18EA"/>
    <w:rsid w:val="00BD200C"/>
    <w:rsid w:val="00BD3FF1"/>
    <w:rsid w:val="00BD69A0"/>
    <w:rsid w:val="00BD75A8"/>
    <w:rsid w:val="00BD7859"/>
    <w:rsid w:val="00BD7AD2"/>
    <w:rsid w:val="00BE11C6"/>
    <w:rsid w:val="00BE1DC4"/>
    <w:rsid w:val="00BE26B9"/>
    <w:rsid w:val="00BE3F4C"/>
    <w:rsid w:val="00BE4275"/>
    <w:rsid w:val="00BE6EB6"/>
    <w:rsid w:val="00BE7ABC"/>
    <w:rsid w:val="00BE7BBD"/>
    <w:rsid w:val="00BE7DA1"/>
    <w:rsid w:val="00BF2301"/>
    <w:rsid w:val="00BF2340"/>
    <w:rsid w:val="00BF2420"/>
    <w:rsid w:val="00BF3135"/>
    <w:rsid w:val="00BF387A"/>
    <w:rsid w:val="00BF3CE1"/>
    <w:rsid w:val="00BF45D8"/>
    <w:rsid w:val="00BF524D"/>
    <w:rsid w:val="00BF544B"/>
    <w:rsid w:val="00BF5857"/>
    <w:rsid w:val="00BF5CA4"/>
    <w:rsid w:val="00BF6B25"/>
    <w:rsid w:val="00BF746D"/>
    <w:rsid w:val="00BF75F7"/>
    <w:rsid w:val="00C00FEC"/>
    <w:rsid w:val="00C023F2"/>
    <w:rsid w:val="00C02D00"/>
    <w:rsid w:val="00C0317B"/>
    <w:rsid w:val="00C038B1"/>
    <w:rsid w:val="00C0481C"/>
    <w:rsid w:val="00C050B5"/>
    <w:rsid w:val="00C05C31"/>
    <w:rsid w:val="00C06239"/>
    <w:rsid w:val="00C06AFE"/>
    <w:rsid w:val="00C07A43"/>
    <w:rsid w:val="00C1062E"/>
    <w:rsid w:val="00C10F0B"/>
    <w:rsid w:val="00C11412"/>
    <w:rsid w:val="00C12326"/>
    <w:rsid w:val="00C128F0"/>
    <w:rsid w:val="00C13578"/>
    <w:rsid w:val="00C138D1"/>
    <w:rsid w:val="00C14AFA"/>
    <w:rsid w:val="00C14D64"/>
    <w:rsid w:val="00C14DC7"/>
    <w:rsid w:val="00C1630A"/>
    <w:rsid w:val="00C16EB8"/>
    <w:rsid w:val="00C171AE"/>
    <w:rsid w:val="00C17A14"/>
    <w:rsid w:val="00C219B4"/>
    <w:rsid w:val="00C22531"/>
    <w:rsid w:val="00C228C5"/>
    <w:rsid w:val="00C237EC"/>
    <w:rsid w:val="00C23A8D"/>
    <w:rsid w:val="00C24424"/>
    <w:rsid w:val="00C25C03"/>
    <w:rsid w:val="00C271A0"/>
    <w:rsid w:val="00C30FC2"/>
    <w:rsid w:val="00C3105C"/>
    <w:rsid w:val="00C31411"/>
    <w:rsid w:val="00C327B5"/>
    <w:rsid w:val="00C3286D"/>
    <w:rsid w:val="00C32D93"/>
    <w:rsid w:val="00C33272"/>
    <w:rsid w:val="00C342DC"/>
    <w:rsid w:val="00C35A02"/>
    <w:rsid w:val="00C36111"/>
    <w:rsid w:val="00C36976"/>
    <w:rsid w:val="00C36F08"/>
    <w:rsid w:val="00C373DD"/>
    <w:rsid w:val="00C37558"/>
    <w:rsid w:val="00C37BD9"/>
    <w:rsid w:val="00C41126"/>
    <w:rsid w:val="00C41669"/>
    <w:rsid w:val="00C4191E"/>
    <w:rsid w:val="00C434EF"/>
    <w:rsid w:val="00C43BF3"/>
    <w:rsid w:val="00C45176"/>
    <w:rsid w:val="00C469C6"/>
    <w:rsid w:val="00C46E59"/>
    <w:rsid w:val="00C47FA8"/>
    <w:rsid w:val="00C500FA"/>
    <w:rsid w:val="00C502A4"/>
    <w:rsid w:val="00C50433"/>
    <w:rsid w:val="00C505FA"/>
    <w:rsid w:val="00C5181E"/>
    <w:rsid w:val="00C53C9D"/>
    <w:rsid w:val="00C540B2"/>
    <w:rsid w:val="00C561E6"/>
    <w:rsid w:val="00C56333"/>
    <w:rsid w:val="00C56381"/>
    <w:rsid w:val="00C56522"/>
    <w:rsid w:val="00C56C4F"/>
    <w:rsid w:val="00C5706D"/>
    <w:rsid w:val="00C5757E"/>
    <w:rsid w:val="00C57FB7"/>
    <w:rsid w:val="00C601D8"/>
    <w:rsid w:val="00C6076C"/>
    <w:rsid w:val="00C6083F"/>
    <w:rsid w:val="00C6126D"/>
    <w:rsid w:val="00C61710"/>
    <w:rsid w:val="00C6302D"/>
    <w:rsid w:val="00C63A46"/>
    <w:rsid w:val="00C656A4"/>
    <w:rsid w:val="00C6697E"/>
    <w:rsid w:val="00C66B58"/>
    <w:rsid w:val="00C67D1C"/>
    <w:rsid w:val="00C67E4F"/>
    <w:rsid w:val="00C709E9"/>
    <w:rsid w:val="00C71FA4"/>
    <w:rsid w:val="00C7267F"/>
    <w:rsid w:val="00C72B03"/>
    <w:rsid w:val="00C74173"/>
    <w:rsid w:val="00C74443"/>
    <w:rsid w:val="00C7444B"/>
    <w:rsid w:val="00C74520"/>
    <w:rsid w:val="00C7495B"/>
    <w:rsid w:val="00C75108"/>
    <w:rsid w:val="00C75B01"/>
    <w:rsid w:val="00C75C2A"/>
    <w:rsid w:val="00C7633E"/>
    <w:rsid w:val="00C76969"/>
    <w:rsid w:val="00C773CE"/>
    <w:rsid w:val="00C773F7"/>
    <w:rsid w:val="00C81726"/>
    <w:rsid w:val="00C82DA8"/>
    <w:rsid w:val="00C83284"/>
    <w:rsid w:val="00C84748"/>
    <w:rsid w:val="00C858F1"/>
    <w:rsid w:val="00C8594D"/>
    <w:rsid w:val="00C85F99"/>
    <w:rsid w:val="00C86231"/>
    <w:rsid w:val="00C86C8C"/>
    <w:rsid w:val="00C8719F"/>
    <w:rsid w:val="00C879A7"/>
    <w:rsid w:val="00C87D25"/>
    <w:rsid w:val="00C908AF"/>
    <w:rsid w:val="00C91357"/>
    <w:rsid w:val="00C91DAB"/>
    <w:rsid w:val="00C9280A"/>
    <w:rsid w:val="00C92A3C"/>
    <w:rsid w:val="00C934AB"/>
    <w:rsid w:val="00C93E8B"/>
    <w:rsid w:val="00C94098"/>
    <w:rsid w:val="00C94D11"/>
    <w:rsid w:val="00C952B9"/>
    <w:rsid w:val="00C96428"/>
    <w:rsid w:val="00C97947"/>
    <w:rsid w:val="00CA0018"/>
    <w:rsid w:val="00CA0AB1"/>
    <w:rsid w:val="00CA1513"/>
    <w:rsid w:val="00CA299A"/>
    <w:rsid w:val="00CA41C9"/>
    <w:rsid w:val="00CA4B54"/>
    <w:rsid w:val="00CA54CE"/>
    <w:rsid w:val="00CA5786"/>
    <w:rsid w:val="00CA5A6E"/>
    <w:rsid w:val="00CB0C37"/>
    <w:rsid w:val="00CB114B"/>
    <w:rsid w:val="00CB1153"/>
    <w:rsid w:val="00CB1B8C"/>
    <w:rsid w:val="00CB1E75"/>
    <w:rsid w:val="00CB241C"/>
    <w:rsid w:val="00CB2A9E"/>
    <w:rsid w:val="00CB2F9E"/>
    <w:rsid w:val="00CB3328"/>
    <w:rsid w:val="00CB365F"/>
    <w:rsid w:val="00CB3D98"/>
    <w:rsid w:val="00CB5AF0"/>
    <w:rsid w:val="00CB5E82"/>
    <w:rsid w:val="00CB5EEE"/>
    <w:rsid w:val="00CB60D0"/>
    <w:rsid w:val="00CB6580"/>
    <w:rsid w:val="00CB67E3"/>
    <w:rsid w:val="00CB71F0"/>
    <w:rsid w:val="00CB7D48"/>
    <w:rsid w:val="00CC1BF0"/>
    <w:rsid w:val="00CC21F2"/>
    <w:rsid w:val="00CC38BC"/>
    <w:rsid w:val="00CC3AEF"/>
    <w:rsid w:val="00CC4055"/>
    <w:rsid w:val="00CC557F"/>
    <w:rsid w:val="00CC5CB0"/>
    <w:rsid w:val="00CC7875"/>
    <w:rsid w:val="00CD1B4B"/>
    <w:rsid w:val="00CD3B14"/>
    <w:rsid w:val="00CD401C"/>
    <w:rsid w:val="00CD42C8"/>
    <w:rsid w:val="00CD47AE"/>
    <w:rsid w:val="00CD4CD8"/>
    <w:rsid w:val="00CD584E"/>
    <w:rsid w:val="00CD5B84"/>
    <w:rsid w:val="00CD708E"/>
    <w:rsid w:val="00CD7BD6"/>
    <w:rsid w:val="00CE0D34"/>
    <w:rsid w:val="00CE1906"/>
    <w:rsid w:val="00CE2205"/>
    <w:rsid w:val="00CE2721"/>
    <w:rsid w:val="00CE4156"/>
    <w:rsid w:val="00CE48D3"/>
    <w:rsid w:val="00CE6252"/>
    <w:rsid w:val="00CE68DB"/>
    <w:rsid w:val="00CE7D81"/>
    <w:rsid w:val="00CF1AA8"/>
    <w:rsid w:val="00CF1F22"/>
    <w:rsid w:val="00CF2A1C"/>
    <w:rsid w:val="00CF2E86"/>
    <w:rsid w:val="00CF4F00"/>
    <w:rsid w:val="00CF4FE2"/>
    <w:rsid w:val="00CF6622"/>
    <w:rsid w:val="00CF7158"/>
    <w:rsid w:val="00CF7B53"/>
    <w:rsid w:val="00D0186A"/>
    <w:rsid w:val="00D056CD"/>
    <w:rsid w:val="00D06B90"/>
    <w:rsid w:val="00D06C79"/>
    <w:rsid w:val="00D07720"/>
    <w:rsid w:val="00D07D93"/>
    <w:rsid w:val="00D12F03"/>
    <w:rsid w:val="00D14151"/>
    <w:rsid w:val="00D14307"/>
    <w:rsid w:val="00D14C7F"/>
    <w:rsid w:val="00D15DAA"/>
    <w:rsid w:val="00D16078"/>
    <w:rsid w:val="00D169A4"/>
    <w:rsid w:val="00D203B1"/>
    <w:rsid w:val="00D22A70"/>
    <w:rsid w:val="00D23054"/>
    <w:rsid w:val="00D23CFF"/>
    <w:rsid w:val="00D24678"/>
    <w:rsid w:val="00D2607F"/>
    <w:rsid w:val="00D26FCD"/>
    <w:rsid w:val="00D272ED"/>
    <w:rsid w:val="00D27BEB"/>
    <w:rsid w:val="00D31C7F"/>
    <w:rsid w:val="00D33951"/>
    <w:rsid w:val="00D33F62"/>
    <w:rsid w:val="00D34CC8"/>
    <w:rsid w:val="00D35F4B"/>
    <w:rsid w:val="00D36635"/>
    <w:rsid w:val="00D37354"/>
    <w:rsid w:val="00D40C55"/>
    <w:rsid w:val="00D420BE"/>
    <w:rsid w:val="00D44250"/>
    <w:rsid w:val="00D4653F"/>
    <w:rsid w:val="00D46A7C"/>
    <w:rsid w:val="00D46EC6"/>
    <w:rsid w:val="00D47697"/>
    <w:rsid w:val="00D47C31"/>
    <w:rsid w:val="00D5129B"/>
    <w:rsid w:val="00D5163F"/>
    <w:rsid w:val="00D516D1"/>
    <w:rsid w:val="00D51796"/>
    <w:rsid w:val="00D53C44"/>
    <w:rsid w:val="00D53E3C"/>
    <w:rsid w:val="00D53FD6"/>
    <w:rsid w:val="00D550BA"/>
    <w:rsid w:val="00D55373"/>
    <w:rsid w:val="00D5569C"/>
    <w:rsid w:val="00D55F61"/>
    <w:rsid w:val="00D571E0"/>
    <w:rsid w:val="00D5798D"/>
    <w:rsid w:val="00D605F7"/>
    <w:rsid w:val="00D64193"/>
    <w:rsid w:val="00D64263"/>
    <w:rsid w:val="00D643D4"/>
    <w:rsid w:val="00D65CEE"/>
    <w:rsid w:val="00D66878"/>
    <w:rsid w:val="00D66FEC"/>
    <w:rsid w:val="00D723F9"/>
    <w:rsid w:val="00D7271E"/>
    <w:rsid w:val="00D72AA6"/>
    <w:rsid w:val="00D739E2"/>
    <w:rsid w:val="00D7526E"/>
    <w:rsid w:val="00D76A8B"/>
    <w:rsid w:val="00D811C0"/>
    <w:rsid w:val="00D81482"/>
    <w:rsid w:val="00D81AD5"/>
    <w:rsid w:val="00D81C3C"/>
    <w:rsid w:val="00D826B3"/>
    <w:rsid w:val="00D8384B"/>
    <w:rsid w:val="00D83FEA"/>
    <w:rsid w:val="00D84570"/>
    <w:rsid w:val="00D84BBA"/>
    <w:rsid w:val="00D86231"/>
    <w:rsid w:val="00D871BB"/>
    <w:rsid w:val="00D87545"/>
    <w:rsid w:val="00D87900"/>
    <w:rsid w:val="00D906F6"/>
    <w:rsid w:val="00D91040"/>
    <w:rsid w:val="00D91ACD"/>
    <w:rsid w:val="00D91E13"/>
    <w:rsid w:val="00D94162"/>
    <w:rsid w:val="00D94E38"/>
    <w:rsid w:val="00D95DD9"/>
    <w:rsid w:val="00D95F6A"/>
    <w:rsid w:val="00D96C23"/>
    <w:rsid w:val="00DA1725"/>
    <w:rsid w:val="00DA3214"/>
    <w:rsid w:val="00DA34CE"/>
    <w:rsid w:val="00DA3A1E"/>
    <w:rsid w:val="00DA3A4F"/>
    <w:rsid w:val="00DA3BA5"/>
    <w:rsid w:val="00DA6251"/>
    <w:rsid w:val="00DA6638"/>
    <w:rsid w:val="00DB0A5D"/>
    <w:rsid w:val="00DB2A2F"/>
    <w:rsid w:val="00DB3E0F"/>
    <w:rsid w:val="00DB447A"/>
    <w:rsid w:val="00DB541F"/>
    <w:rsid w:val="00DB593B"/>
    <w:rsid w:val="00DB5B1F"/>
    <w:rsid w:val="00DB5D7E"/>
    <w:rsid w:val="00DC11A0"/>
    <w:rsid w:val="00DC11DC"/>
    <w:rsid w:val="00DC1BF2"/>
    <w:rsid w:val="00DC2BC4"/>
    <w:rsid w:val="00DC3300"/>
    <w:rsid w:val="00DC3A3C"/>
    <w:rsid w:val="00DC49F8"/>
    <w:rsid w:val="00DC4CCB"/>
    <w:rsid w:val="00DC5637"/>
    <w:rsid w:val="00DC5AB5"/>
    <w:rsid w:val="00DC68B8"/>
    <w:rsid w:val="00DC693C"/>
    <w:rsid w:val="00DC77EA"/>
    <w:rsid w:val="00DD02CC"/>
    <w:rsid w:val="00DD12D4"/>
    <w:rsid w:val="00DD2BBA"/>
    <w:rsid w:val="00DD2C44"/>
    <w:rsid w:val="00DD2D83"/>
    <w:rsid w:val="00DD42C6"/>
    <w:rsid w:val="00DD5CAA"/>
    <w:rsid w:val="00DD5F92"/>
    <w:rsid w:val="00DD7CE4"/>
    <w:rsid w:val="00DD7DA5"/>
    <w:rsid w:val="00DE071B"/>
    <w:rsid w:val="00DE30F9"/>
    <w:rsid w:val="00DE3E54"/>
    <w:rsid w:val="00DE4000"/>
    <w:rsid w:val="00DE482D"/>
    <w:rsid w:val="00DE4C31"/>
    <w:rsid w:val="00DE4E62"/>
    <w:rsid w:val="00DE5EC7"/>
    <w:rsid w:val="00DE6481"/>
    <w:rsid w:val="00DE663E"/>
    <w:rsid w:val="00DE6C57"/>
    <w:rsid w:val="00DE7E2B"/>
    <w:rsid w:val="00DF1863"/>
    <w:rsid w:val="00DF2F7F"/>
    <w:rsid w:val="00DF315A"/>
    <w:rsid w:val="00DF4099"/>
    <w:rsid w:val="00DF4D5E"/>
    <w:rsid w:val="00DF689F"/>
    <w:rsid w:val="00DF6955"/>
    <w:rsid w:val="00DF714A"/>
    <w:rsid w:val="00DF718F"/>
    <w:rsid w:val="00DF7CFD"/>
    <w:rsid w:val="00E01336"/>
    <w:rsid w:val="00E02545"/>
    <w:rsid w:val="00E034BE"/>
    <w:rsid w:val="00E03B17"/>
    <w:rsid w:val="00E04D38"/>
    <w:rsid w:val="00E057EA"/>
    <w:rsid w:val="00E05812"/>
    <w:rsid w:val="00E068F6"/>
    <w:rsid w:val="00E07B7E"/>
    <w:rsid w:val="00E106A1"/>
    <w:rsid w:val="00E10AA9"/>
    <w:rsid w:val="00E10CBD"/>
    <w:rsid w:val="00E111E6"/>
    <w:rsid w:val="00E114C2"/>
    <w:rsid w:val="00E123BC"/>
    <w:rsid w:val="00E1291F"/>
    <w:rsid w:val="00E13433"/>
    <w:rsid w:val="00E14068"/>
    <w:rsid w:val="00E1488C"/>
    <w:rsid w:val="00E149A7"/>
    <w:rsid w:val="00E1609B"/>
    <w:rsid w:val="00E16F20"/>
    <w:rsid w:val="00E206E7"/>
    <w:rsid w:val="00E21507"/>
    <w:rsid w:val="00E21804"/>
    <w:rsid w:val="00E2194D"/>
    <w:rsid w:val="00E2260F"/>
    <w:rsid w:val="00E23882"/>
    <w:rsid w:val="00E23F1A"/>
    <w:rsid w:val="00E24055"/>
    <w:rsid w:val="00E24645"/>
    <w:rsid w:val="00E25236"/>
    <w:rsid w:val="00E2571F"/>
    <w:rsid w:val="00E26272"/>
    <w:rsid w:val="00E3008D"/>
    <w:rsid w:val="00E307DB"/>
    <w:rsid w:val="00E31246"/>
    <w:rsid w:val="00E32723"/>
    <w:rsid w:val="00E32A7A"/>
    <w:rsid w:val="00E33223"/>
    <w:rsid w:val="00E34106"/>
    <w:rsid w:val="00E352FC"/>
    <w:rsid w:val="00E35A1C"/>
    <w:rsid w:val="00E36106"/>
    <w:rsid w:val="00E40D30"/>
    <w:rsid w:val="00E40F97"/>
    <w:rsid w:val="00E412B4"/>
    <w:rsid w:val="00E431AC"/>
    <w:rsid w:val="00E4375C"/>
    <w:rsid w:val="00E43E60"/>
    <w:rsid w:val="00E454FC"/>
    <w:rsid w:val="00E460C7"/>
    <w:rsid w:val="00E4680E"/>
    <w:rsid w:val="00E46893"/>
    <w:rsid w:val="00E47100"/>
    <w:rsid w:val="00E475C2"/>
    <w:rsid w:val="00E476CB"/>
    <w:rsid w:val="00E47BD9"/>
    <w:rsid w:val="00E500CA"/>
    <w:rsid w:val="00E51702"/>
    <w:rsid w:val="00E52487"/>
    <w:rsid w:val="00E52906"/>
    <w:rsid w:val="00E529DB"/>
    <w:rsid w:val="00E52AE2"/>
    <w:rsid w:val="00E52C03"/>
    <w:rsid w:val="00E5382A"/>
    <w:rsid w:val="00E54130"/>
    <w:rsid w:val="00E556C4"/>
    <w:rsid w:val="00E556D7"/>
    <w:rsid w:val="00E57BEF"/>
    <w:rsid w:val="00E61528"/>
    <w:rsid w:val="00E62554"/>
    <w:rsid w:val="00E62A6A"/>
    <w:rsid w:val="00E63434"/>
    <w:rsid w:val="00E63CD4"/>
    <w:rsid w:val="00E645EC"/>
    <w:rsid w:val="00E64ECD"/>
    <w:rsid w:val="00E654AF"/>
    <w:rsid w:val="00E6625B"/>
    <w:rsid w:val="00E66B74"/>
    <w:rsid w:val="00E678C7"/>
    <w:rsid w:val="00E70A31"/>
    <w:rsid w:val="00E70DD6"/>
    <w:rsid w:val="00E71533"/>
    <w:rsid w:val="00E7359A"/>
    <w:rsid w:val="00E73B49"/>
    <w:rsid w:val="00E73D18"/>
    <w:rsid w:val="00E7497C"/>
    <w:rsid w:val="00E75D9A"/>
    <w:rsid w:val="00E810B0"/>
    <w:rsid w:val="00E813C9"/>
    <w:rsid w:val="00E827F0"/>
    <w:rsid w:val="00E841CF"/>
    <w:rsid w:val="00E84A5F"/>
    <w:rsid w:val="00E85014"/>
    <w:rsid w:val="00E857A4"/>
    <w:rsid w:val="00E86176"/>
    <w:rsid w:val="00E864B5"/>
    <w:rsid w:val="00E86A1A"/>
    <w:rsid w:val="00E86C1A"/>
    <w:rsid w:val="00E8752B"/>
    <w:rsid w:val="00E87D9C"/>
    <w:rsid w:val="00E9151F"/>
    <w:rsid w:val="00E915C6"/>
    <w:rsid w:val="00E91E79"/>
    <w:rsid w:val="00E92C54"/>
    <w:rsid w:val="00E930F6"/>
    <w:rsid w:val="00E93489"/>
    <w:rsid w:val="00E93D22"/>
    <w:rsid w:val="00E9426F"/>
    <w:rsid w:val="00E94C22"/>
    <w:rsid w:val="00E974B2"/>
    <w:rsid w:val="00E97C30"/>
    <w:rsid w:val="00EA02AE"/>
    <w:rsid w:val="00EA1D33"/>
    <w:rsid w:val="00EA1E71"/>
    <w:rsid w:val="00EA213D"/>
    <w:rsid w:val="00EA2B17"/>
    <w:rsid w:val="00EA2B5A"/>
    <w:rsid w:val="00EA30BD"/>
    <w:rsid w:val="00EA43F3"/>
    <w:rsid w:val="00EA7D7F"/>
    <w:rsid w:val="00EB00B1"/>
    <w:rsid w:val="00EB07CE"/>
    <w:rsid w:val="00EB19B9"/>
    <w:rsid w:val="00EB28D7"/>
    <w:rsid w:val="00EB2A43"/>
    <w:rsid w:val="00EB2DDA"/>
    <w:rsid w:val="00EB35F7"/>
    <w:rsid w:val="00EB3AC0"/>
    <w:rsid w:val="00EB51B6"/>
    <w:rsid w:val="00EB56DA"/>
    <w:rsid w:val="00EB6795"/>
    <w:rsid w:val="00EB7EED"/>
    <w:rsid w:val="00EC035F"/>
    <w:rsid w:val="00EC058A"/>
    <w:rsid w:val="00EC1A27"/>
    <w:rsid w:val="00EC1EBB"/>
    <w:rsid w:val="00EC2701"/>
    <w:rsid w:val="00EC2930"/>
    <w:rsid w:val="00EC3466"/>
    <w:rsid w:val="00EC366F"/>
    <w:rsid w:val="00EC43E1"/>
    <w:rsid w:val="00EC449B"/>
    <w:rsid w:val="00EC4545"/>
    <w:rsid w:val="00EC4BAF"/>
    <w:rsid w:val="00EC6F36"/>
    <w:rsid w:val="00EC7819"/>
    <w:rsid w:val="00EC7CDA"/>
    <w:rsid w:val="00ED037E"/>
    <w:rsid w:val="00ED06D8"/>
    <w:rsid w:val="00ED0EAF"/>
    <w:rsid w:val="00ED1081"/>
    <w:rsid w:val="00ED14B4"/>
    <w:rsid w:val="00ED180D"/>
    <w:rsid w:val="00ED1878"/>
    <w:rsid w:val="00ED2206"/>
    <w:rsid w:val="00ED2A63"/>
    <w:rsid w:val="00ED3576"/>
    <w:rsid w:val="00ED448C"/>
    <w:rsid w:val="00ED48B0"/>
    <w:rsid w:val="00ED698C"/>
    <w:rsid w:val="00EE04D8"/>
    <w:rsid w:val="00EE0FEF"/>
    <w:rsid w:val="00EE102F"/>
    <w:rsid w:val="00EE2E4E"/>
    <w:rsid w:val="00EE316C"/>
    <w:rsid w:val="00EE323E"/>
    <w:rsid w:val="00EE3D5C"/>
    <w:rsid w:val="00EE45A0"/>
    <w:rsid w:val="00EE5284"/>
    <w:rsid w:val="00EE5F50"/>
    <w:rsid w:val="00EE5F72"/>
    <w:rsid w:val="00EE728D"/>
    <w:rsid w:val="00EE7A75"/>
    <w:rsid w:val="00EE7CA1"/>
    <w:rsid w:val="00EE7FA2"/>
    <w:rsid w:val="00EF0C30"/>
    <w:rsid w:val="00EF27EA"/>
    <w:rsid w:val="00EF3951"/>
    <w:rsid w:val="00EF3C3F"/>
    <w:rsid w:val="00EF45DB"/>
    <w:rsid w:val="00EF4EA4"/>
    <w:rsid w:val="00EF54EA"/>
    <w:rsid w:val="00EF5B78"/>
    <w:rsid w:val="00EF5DD8"/>
    <w:rsid w:val="00F00770"/>
    <w:rsid w:val="00F03860"/>
    <w:rsid w:val="00F04D14"/>
    <w:rsid w:val="00F05D28"/>
    <w:rsid w:val="00F07720"/>
    <w:rsid w:val="00F10013"/>
    <w:rsid w:val="00F1019C"/>
    <w:rsid w:val="00F101EA"/>
    <w:rsid w:val="00F10803"/>
    <w:rsid w:val="00F11395"/>
    <w:rsid w:val="00F13807"/>
    <w:rsid w:val="00F14139"/>
    <w:rsid w:val="00F15275"/>
    <w:rsid w:val="00F155DD"/>
    <w:rsid w:val="00F16DEB"/>
    <w:rsid w:val="00F202BD"/>
    <w:rsid w:val="00F20568"/>
    <w:rsid w:val="00F21189"/>
    <w:rsid w:val="00F217D3"/>
    <w:rsid w:val="00F21AE9"/>
    <w:rsid w:val="00F22B8E"/>
    <w:rsid w:val="00F22DAF"/>
    <w:rsid w:val="00F23288"/>
    <w:rsid w:val="00F2436B"/>
    <w:rsid w:val="00F24EFD"/>
    <w:rsid w:val="00F2580B"/>
    <w:rsid w:val="00F262BC"/>
    <w:rsid w:val="00F2731F"/>
    <w:rsid w:val="00F302B6"/>
    <w:rsid w:val="00F307DD"/>
    <w:rsid w:val="00F31789"/>
    <w:rsid w:val="00F31945"/>
    <w:rsid w:val="00F32AEF"/>
    <w:rsid w:val="00F32E72"/>
    <w:rsid w:val="00F3445E"/>
    <w:rsid w:val="00F35244"/>
    <w:rsid w:val="00F36476"/>
    <w:rsid w:val="00F3648B"/>
    <w:rsid w:val="00F36AA2"/>
    <w:rsid w:val="00F36DE6"/>
    <w:rsid w:val="00F36FBC"/>
    <w:rsid w:val="00F37735"/>
    <w:rsid w:val="00F40B7D"/>
    <w:rsid w:val="00F41A74"/>
    <w:rsid w:val="00F41AD4"/>
    <w:rsid w:val="00F444A0"/>
    <w:rsid w:val="00F453CC"/>
    <w:rsid w:val="00F46E31"/>
    <w:rsid w:val="00F46EDE"/>
    <w:rsid w:val="00F5039D"/>
    <w:rsid w:val="00F50B2A"/>
    <w:rsid w:val="00F51DBE"/>
    <w:rsid w:val="00F52B23"/>
    <w:rsid w:val="00F53B4D"/>
    <w:rsid w:val="00F53ECE"/>
    <w:rsid w:val="00F543F8"/>
    <w:rsid w:val="00F54F00"/>
    <w:rsid w:val="00F55BEE"/>
    <w:rsid w:val="00F55E68"/>
    <w:rsid w:val="00F564B7"/>
    <w:rsid w:val="00F57D49"/>
    <w:rsid w:val="00F57EED"/>
    <w:rsid w:val="00F6010A"/>
    <w:rsid w:val="00F6033D"/>
    <w:rsid w:val="00F6138A"/>
    <w:rsid w:val="00F63165"/>
    <w:rsid w:val="00F63B2D"/>
    <w:rsid w:val="00F642EA"/>
    <w:rsid w:val="00F64564"/>
    <w:rsid w:val="00F6502B"/>
    <w:rsid w:val="00F6590D"/>
    <w:rsid w:val="00F65A8D"/>
    <w:rsid w:val="00F67A49"/>
    <w:rsid w:val="00F70A0E"/>
    <w:rsid w:val="00F70A15"/>
    <w:rsid w:val="00F71185"/>
    <w:rsid w:val="00F72A57"/>
    <w:rsid w:val="00F74BD4"/>
    <w:rsid w:val="00F74F8F"/>
    <w:rsid w:val="00F765F4"/>
    <w:rsid w:val="00F7708C"/>
    <w:rsid w:val="00F77105"/>
    <w:rsid w:val="00F77549"/>
    <w:rsid w:val="00F77565"/>
    <w:rsid w:val="00F80718"/>
    <w:rsid w:val="00F8114F"/>
    <w:rsid w:val="00F811E0"/>
    <w:rsid w:val="00F8148C"/>
    <w:rsid w:val="00F835AC"/>
    <w:rsid w:val="00F83B92"/>
    <w:rsid w:val="00F83C53"/>
    <w:rsid w:val="00F84B86"/>
    <w:rsid w:val="00F872A9"/>
    <w:rsid w:val="00F87E13"/>
    <w:rsid w:val="00F9043F"/>
    <w:rsid w:val="00F912FF"/>
    <w:rsid w:val="00F91AD4"/>
    <w:rsid w:val="00F9200E"/>
    <w:rsid w:val="00F932C1"/>
    <w:rsid w:val="00F93332"/>
    <w:rsid w:val="00F94024"/>
    <w:rsid w:val="00F943C9"/>
    <w:rsid w:val="00F94E91"/>
    <w:rsid w:val="00F952A0"/>
    <w:rsid w:val="00F95DDD"/>
    <w:rsid w:val="00F96461"/>
    <w:rsid w:val="00F9689A"/>
    <w:rsid w:val="00F968A3"/>
    <w:rsid w:val="00F96E1C"/>
    <w:rsid w:val="00FA0A18"/>
    <w:rsid w:val="00FA1144"/>
    <w:rsid w:val="00FA11E3"/>
    <w:rsid w:val="00FA142A"/>
    <w:rsid w:val="00FA14F6"/>
    <w:rsid w:val="00FA2243"/>
    <w:rsid w:val="00FA2779"/>
    <w:rsid w:val="00FA2BEE"/>
    <w:rsid w:val="00FA6033"/>
    <w:rsid w:val="00FA7B72"/>
    <w:rsid w:val="00FB20C9"/>
    <w:rsid w:val="00FB24F4"/>
    <w:rsid w:val="00FB2FD1"/>
    <w:rsid w:val="00FB30C8"/>
    <w:rsid w:val="00FB3A9C"/>
    <w:rsid w:val="00FB72A6"/>
    <w:rsid w:val="00FC01AE"/>
    <w:rsid w:val="00FC0898"/>
    <w:rsid w:val="00FC1362"/>
    <w:rsid w:val="00FC2639"/>
    <w:rsid w:val="00FC27E8"/>
    <w:rsid w:val="00FC3BDB"/>
    <w:rsid w:val="00FC5425"/>
    <w:rsid w:val="00FC5607"/>
    <w:rsid w:val="00FC624D"/>
    <w:rsid w:val="00FC6EE7"/>
    <w:rsid w:val="00FC7F3A"/>
    <w:rsid w:val="00FD078B"/>
    <w:rsid w:val="00FD18CD"/>
    <w:rsid w:val="00FD246C"/>
    <w:rsid w:val="00FD2CED"/>
    <w:rsid w:val="00FD2DC5"/>
    <w:rsid w:val="00FD356C"/>
    <w:rsid w:val="00FD3B02"/>
    <w:rsid w:val="00FD3E9E"/>
    <w:rsid w:val="00FD4078"/>
    <w:rsid w:val="00FD56AB"/>
    <w:rsid w:val="00FD5B7A"/>
    <w:rsid w:val="00FD64BE"/>
    <w:rsid w:val="00FD66E2"/>
    <w:rsid w:val="00FD6A07"/>
    <w:rsid w:val="00FD6D72"/>
    <w:rsid w:val="00FD74D4"/>
    <w:rsid w:val="00FE03FE"/>
    <w:rsid w:val="00FE09DC"/>
    <w:rsid w:val="00FE21DB"/>
    <w:rsid w:val="00FE3E7C"/>
    <w:rsid w:val="00FE4605"/>
    <w:rsid w:val="00FE52E4"/>
    <w:rsid w:val="00FE6153"/>
    <w:rsid w:val="00FE6957"/>
    <w:rsid w:val="00FE7A94"/>
    <w:rsid w:val="00FF0308"/>
    <w:rsid w:val="00FF10E8"/>
    <w:rsid w:val="00FF1557"/>
    <w:rsid w:val="00FF1AC8"/>
    <w:rsid w:val="00FF2A7D"/>
    <w:rsid w:val="00FF5703"/>
    <w:rsid w:val="00FF6BD9"/>
    <w:rsid w:val="00FF7025"/>
    <w:rsid w:val="00FF7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2CDF"/>
    <w:rPr>
      <w:sz w:val="24"/>
      <w:szCs w:val="24"/>
    </w:rPr>
  </w:style>
  <w:style w:type="paragraph" w:styleId="Titolo1">
    <w:name w:val="heading 1"/>
    <w:basedOn w:val="Normale"/>
    <w:next w:val="Normale"/>
    <w:link w:val="Titolo1Carattere"/>
    <w:qFormat/>
    <w:rsid w:val="00181592"/>
    <w:pPr>
      <w:keepNext/>
      <w:spacing w:before="240" w:after="60"/>
      <w:outlineLvl w:val="0"/>
    </w:pPr>
    <w:rPr>
      <w:rFonts w:ascii="Cambria" w:hAnsi="Cambria"/>
      <w:b/>
      <w:bCs/>
      <w:kern w:val="32"/>
      <w:sz w:val="32"/>
      <w:szCs w:val="32"/>
    </w:rPr>
  </w:style>
  <w:style w:type="paragraph" w:styleId="Titolo2">
    <w:name w:val="heading 2"/>
    <w:aliases w:val=" Carattere"/>
    <w:basedOn w:val="Normale"/>
    <w:next w:val="Normale"/>
    <w:link w:val="Titolo2Carattere"/>
    <w:qFormat/>
    <w:rsid w:val="00181592"/>
    <w:pPr>
      <w:keepNext/>
      <w:spacing w:before="240" w:after="60"/>
      <w:outlineLvl w:val="1"/>
    </w:pPr>
    <w:rPr>
      <w:b/>
      <w:bCs/>
      <w:iCs/>
      <w:szCs w:val="28"/>
    </w:rPr>
  </w:style>
  <w:style w:type="paragraph" w:styleId="Titolo3">
    <w:name w:val="heading 3"/>
    <w:basedOn w:val="Normale"/>
    <w:next w:val="Normale"/>
    <w:link w:val="Titolo3Carattere"/>
    <w:semiHidden/>
    <w:unhideWhenUsed/>
    <w:qFormat/>
    <w:rsid w:val="00030BB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81592"/>
    <w:rPr>
      <w:rFonts w:ascii="Cambria" w:eastAsia="Times New Roman" w:hAnsi="Cambria" w:cs="Times New Roman"/>
      <w:b/>
      <w:bCs/>
      <w:kern w:val="32"/>
      <w:sz w:val="32"/>
      <w:szCs w:val="32"/>
    </w:rPr>
  </w:style>
  <w:style w:type="character" w:customStyle="1" w:styleId="Titolo2Carattere">
    <w:name w:val="Titolo 2 Carattere"/>
    <w:aliases w:val=" Carattere Carattere"/>
    <w:link w:val="Titolo2"/>
    <w:rsid w:val="00181592"/>
    <w:rPr>
      <w:rFonts w:eastAsia="Times New Roman" w:cs="Times New Roman"/>
      <w:b/>
      <w:bCs/>
      <w:iCs/>
      <w:sz w:val="24"/>
      <w:szCs w:val="28"/>
    </w:rPr>
  </w:style>
  <w:style w:type="character" w:customStyle="1" w:styleId="Titolo3Carattere">
    <w:name w:val="Titolo 3 Carattere"/>
    <w:link w:val="Titolo3"/>
    <w:semiHidden/>
    <w:rsid w:val="00030BB8"/>
    <w:rPr>
      <w:rFonts w:ascii="Cambria" w:eastAsia="Times New Roman" w:hAnsi="Cambria" w:cs="Times New Roman"/>
      <w:b/>
      <w:bCs/>
      <w:sz w:val="26"/>
      <w:szCs w:val="26"/>
    </w:rPr>
  </w:style>
  <w:style w:type="paragraph" w:customStyle="1" w:styleId="a">
    <w:basedOn w:val="Normale"/>
    <w:rsid w:val="002B2CDF"/>
    <w:pPr>
      <w:spacing w:after="160" w:line="240" w:lineRule="exact"/>
    </w:pPr>
    <w:rPr>
      <w:rFonts w:ascii="Tahoma" w:hAnsi="Tahoma"/>
      <w:sz w:val="20"/>
      <w:szCs w:val="20"/>
      <w:lang w:val="en-US" w:eastAsia="en-US"/>
    </w:rPr>
  </w:style>
  <w:style w:type="paragraph" w:styleId="Intestazione">
    <w:name w:val="header"/>
    <w:basedOn w:val="Normale"/>
    <w:link w:val="IntestazioneCarattere"/>
    <w:uiPriority w:val="99"/>
    <w:rsid w:val="002B2CDF"/>
    <w:pPr>
      <w:tabs>
        <w:tab w:val="center" w:pos="4819"/>
        <w:tab w:val="right" w:pos="9638"/>
      </w:tabs>
    </w:pPr>
  </w:style>
  <w:style w:type="paragraph" w:styleId="Rientrocorpodeltesto">
    <w:name w:val="Body Text Indent"/>
    <w:basedOn w:val="Normale"/>
    <w:rsid w:val="002B2CDF"/>
    <w:pPr>
      <w:tabs>
        <w:tab w:val="left" w:pos="567"/>
      </w:tabs>
      <w:ind w:left="1134" w:hanging="1134"/>
      <w:jc w:val="both"/>
    </w:pPr>
    <w:rPr>
      <w:b/>
    </w:rPr>
  </w:style>
  <w:style w:type="paragraph" w:customStyle="1" w:styleId="Normale24pt">
    <w:name w:val="Normale + 24 pt"/>
    <w:basedOn w:val="Normale"/>
    <w:rsid w:val="002B2CDF"/>
    <w:pPr>
      <w:jc w:val="center"/>
    </w:pPr>
    <w:rPr>
      <w:sz w:val="48"/>
      <w:szCs w:val="48"/>
    </w:rPr>
  </w:style>
  <w:style w:type="paragraph" w:styleId="Pidipagina">
    <w:name w:val="footer"/>
    <w:basedOn w:val="Normale"/>
    <w:link w:val="PidipaginaCarattere"/>
    <w:uiPriority w:val="99"/>
    <w:rsid w:val="0066774B"/>
    <w:pPr>
      <w:tabs>
        <w:tab w:val="center" w:pos="4819"/>
        <w:tab w:val="right" w:pos="9638"/>
      </w:tabs>
    </w:pPr>
  </w:style>
  <w:style w:type="character" w:styleId="Numeropagina">
    <w:name w:val="page number"/>
    <w:basedOn w:val="Carpredefinitoparagrafo"/>
    <w:rsid w:val="0066774B"/>
  </w:style>
  <w:style w:type="paragraph" w:customStyle="1" w:styleId="Corpotesto1">
    <w:name w:val="Corpo testo1"/>
    <w:basedOn w:val="Normale"/>
    <w:rsid w:val="0057437F"/>
    <w:pPr>
      <w:spacing w:after="120"/>
    </w:pPr>
  </w:style>
  <w:style w:type="paragraph" w:styleId="Rientrocorpodeltesto2">
    <w:name w:val="Body Text Indent 2"/>
    <w:basedOn w:val="Normale"/>
    <w:rsid w:val="0057437F"/>
    <w:pPr>
      <w:spacing w:after="120" w:line="480" w:lineRule="auto"/>
      <w:ind w:left="283"/>
    </w:pPr>
  </w:style>
  <w:style w:type="paragraph" w:styleId="Testonotaapidipagina">
    <w:name w:val="footnote text"/>
    <w:basedOn w:val="Normale"/>
    <w:semiHidden/>
    <w:rsid w:val="00FD246C"/>
    <w:rPr>
      <w:sz w:val="20"/>
      <w:szCs w:val="20"/>
    </w:rPr>
  </w:style>
  <w:style w:type="character" w:styleId="Rimandonotaapidipagina">
    <w:name w:val="footnote reference"/>
    <w:semiHidden/>
    <w:rsid w:val="00FD246C"/>
    <w:rPr>
      <w:vertAlign w:val="superscript"/>
    </w:rPr>
  </w:style>
  <w:style w:type="paragraph" w:styleId="Corpodeltesto2">
    <w:name w:val="Body Text 2"/>
    <w:basedOn w:val="Normale"/>
    <w:rsid w:val="00E864B5"/>
    <w:pPr>
      <w:spacing w:after="120" w:line="480" w:lineRule="auto"/>
    </w:pPr>
  </w:style>
  <w:style w:type="paragraph" w:styleId="Corpodeltesto3">
    <w:name w:val="Body Text 3"/>
    <w:basedOn w:val="Normale"/>
    <w:rsid w:val="00E864B5"/>
    <w:pPr>
      <w:spacing w:after="120"/>
    </w:pPr>
    <w:rPr>
      <w:sz w:val="16"/>
      <w:szCs w:val="16"/>
    </w:rPr>
  </w:style>
  <w:style w:type="paragraph" w:styleId="Rientrocorpodeltesto3">
    <w:name w:val="Body Text Indent 3"/>
    <w:basedOn w:val="Normale"/>
    <w:rsid w:val="00E864B5"/>
    <w:pPr>
      <w:spacing w:after="120"/>
      <w:ind w:left="283"/>
    </w:pPr>
    <w:rPr>
      <w:sz w:val="16"/>
      <w:szCs w:val="16"/>
    </w:rPr>
  </w:style>
  <w:style w:type="character" w:styleId="Collegamentoipertestuale">
    <w:name w:val="Hyperlink"/>
    <w:uiPriority w:val="99"/>
    <w:rsid w:val="00385D5B"/>
    <w:rPr>
      <w:b/>
      <w:bCs/>
      <w:strike w:val="0"/>
      <w:dstrike w:val="0"/>
      <w:color w:val="0033FF"/>
      <w:u w:val="none"/>
      <w:effect w:val="none"/>
    </w:rPr>
  </w:style>
  <w:style w:type="paragraph" w:styleId="NormaleWeb">
    <w:name w:val="Normal (Web)"/>
    <w:basedOn w:val="Normale"/>
    <w:uiPriority w:val="99"/>
    <w:rsid w:val="00727B3B"/>
    <w:pPr>
      <w:spacing w:before="100" w:beforeAutospacing="1" w:after="100" w:afterAutospacing="1"/>
    </w:pPr>
  </w:style>
  <w:style w:type="character" w:styleId="Enfasicorsivo">
    <w:name w:val="Emphasis"/>
    <w:qFormat/>
    <w:rsid w:val="00727B3B"/>
    <w:rPr>
      <w:i/>
      <w:iCs/>
    </w:rPr>
  </w:style>
  <w:style w:type="paragraph" w:styleId="Testofumetto">
    <w:name w:val="Balloon Text"/>
    <w:basedOn w:val="Normale"/>
    <w:semiHidden/>
    <w:rsid w:val="00F83B92"/>
    <w:rPr>
      <w:rFonts w:ascii="Tahoma" w:hAnsi="Tahoma" w:cs="Tahoma"/>
      <w:sz w:val="16"/>
      <w:szCs w:val="16"/>
    </w:rPr>
  </w:style>
  <w:style w:type="character" w:customStyle="1" w:styleId="highlightedsearchterm">
    <w:name w:val="highlightedsearchterm"/>
    <w:basedOn w:val="Carpredefinitoparagrafo"/>
    <w:rsid w:val="00543A3B"/>
  </w:style>
  <w:style w:type="character" w:styleId="Enfasigrassetto">
    <w:name w:val="Strong"/>
    <w:uiPriority w:val="22"/>
    <w:qFormat/>
    <w:rsid w:val="005937BE"/>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2449C7"/>
    <w:pPr>
      <w:spacing w:after="160" w:line="240" w:lineRule="exact"/>
    </w:pPr>
    <w:rPr>
      <w:rFonts w:ascii="Tahoma" w:hAnsi="Tahoma"/>
      <w:sz w:val="20"/>
      <w:szCs w:val="20"/>
      <w:lang w:val="en-US" w:eastAsia="en-US"/>
    </w:rPr>
  </w:style>
  <w:style w:type="character" w:styleId="Rimandocommento">
    <w:name w:val="annotation reference"/>
    <w:semiHidden/>
    <w:rsid w:val="007E6873"/>
    <w:rPr>
      <w:sz w:val="16"/>
      <w:szCs w:val="16"/>
    </w:rPr>
  </w:style>
  <w:style w:type="paragraph" w:styleId="Testocommento">
    <w:name w:val="annotation text"/>
    <w:basedOn w:val="Normale"/>
    <w:link w:val="TestocommentoCarattere"/>
    <w:semiHidden/>
    <w:rsid w:val="007E6873"/>
    <w:rPr>
      <w:sz w:val="20"/>
      <w:szCs w:val="20"/>
    </w:rPr>
  </w:style>
  <w:style w:type="paragraph" w:styleId="Soggettocommento">
    <w:name w:val="annotation subject"/>
    <w:basedOn w:val="Testocommento"/>
    <w:next w:val="Testocommento"/>
    <w:semiHidden/>
    <w:rsid w:val="007E6873"/>
    <w:rPr>
      <w:b/>
      <w:bCs/>
    </w:rPr>
  </w:style>
  <w:style w:type="table" w:styleId="Grigliatabella">
    <w:name w:val="Table Grid"/>
    <w:basedOn w:val="Tabellanormale"/>
    <w:rsid w:val="0050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sommario1">
    <w:name w:val="Titolo sommario1"/>
    <w:basedOn w:val="Titolo1"/>
    <w:next w:val="Normale"/>
    <w:uiPriority w:val="39"/>
    <w:qFormat/>
    <w:rsid w:val="00181592"/>
    <w:pPr>
      <w:keepLines/>
      <w:spacing w:before="480" w:after="0" w:line="276" w:lineRule="auto"/>
      <w:outlineLvl w:val="9"/>
    </w:pPr>
    <w:rPr>
      <w:color w:val="365F91"/>
      <w:kern w:val="0"/>
      <w:sz w:val="28"/>
      <w:szCs w:val="28"/>
      <w:lang w:val="en-US" w:eastAsia="en-US"/>
    </w:rPr>
  </w:style>
  <w:style w:type="paragraph" w:styleId="Titolo">
    <w:name w:val="Title"/>
    <w:basedOn w:val="Normale"/>
    <w:next w:val="Normale"/>
    <w:link w:val="TitoloCarattere"/>
    <w:qFormat/>
    <w:rsid w:val="00181592"/>
    <w:pPr>
      <w:spacing w:before="240" w:after="60"/>
      <w:jc w:val="center"/>
      <w:outlineLvl w:val="0"/>
    </w:pPr>
    <w:rPr>
      <w:b/>
      <w:bCs/>
      <w:kern w:val="28"/>
      <w:sz w:val="28"/>
      <w:szCs w:val="32"/>
    </w:rPr>
  </w:style>
  <w:style w:type="character" w:customStyle="1" w:styleId="TitoloCarattere">
    <w:name w:val="Titolo Carattere"/>
    <w:link w:val="Titolo"/>
    <w:rsid w:val="00181592"/>
    <w:rPr>
      <w:rFonts w:eastAsia="Times New Roman" w:cs="Times New Roman"/>
      <w:b/>
      <w:bCs/>
      <w:kern w:val="28"/>
      <w:sz w:val="28"/>
      <w:szCs w:val="32"/>
    </w:rPr>
  </w:style>
  <w:style w:type="paragraph" w:customStyle="1" w:styleId="Heading">
    <w:name w:val="Heading"/>
    <w:basedOn w:val="Titolo1"/>
    <w:qFormat/>
    <w:rsid w:val="00181592"/>
  </w:style>
  <w:style w:type="paragraph" w:styleId="Sommario1">
    <w:name w:val="toc 1"/>
    <w:basedOn w:val="Normale"/>
    <w:next w:val="Normale"/>
    <w:autoRedefine/>
    <w:uiPriority w:val="39"/>
    <w:rsid w:val="00E9426F"/>
    <w:pPr>
      <w:ind w:right="126"/>
    </w:pPr>
    <w:rPr>
      <w:noProof/>
    </w:rPr>
  </w:style>
  <w:style w:type="paragraph" w:styleId="Sommario2">
    <w:name w:val="toc 2"/>
    <w:basedOn w:val="Normale"/>
    <w:next w:val="Normale"/>
    <w:autoRedefine/>
    <w:uiPriority w:val="39"/>
    <w:rsid w:val="00181592"/>
    <w:pPr>
      <w:ind w:left="240"/>
    </w:pPr>
  </w:style>
  <w:style w:type="paragraph" w:customStyle="1" w:styleId="Revisione1">
    <w:name w:val="Revisione1"/>
    <w:hidden/>
    <w:uiPriority w:val="99"/>
    <w:semiHidden/>
    <w:rsid w:val="00BE1DC4"/>
    <w:rPr>
      <w:sz w:val="24"/>
      <w:szCs w:val="24"/>
    </w:rPr>
  </w:style>
  <w:style w:type="paragraph" w:customStyle="1" w:styleId="Indentro">
    <w:name w:val="Indentro"/>
    <w:basedOn w:val="Normale"/>
    <w:rsid w:val="002F5A2B"/>
    <w:pPr>
      <w:spacing w:before="120"/>
      <w:ind w:left="397" w:hanging="397"/>
      <w:jc w:val="both"/>
    </w:pPr>
  </w:style>
  <w:style w:type="paragraph" w:customStyle="1" w:styleId="PSR-corpotesto">
    <w:name w:val="PSR - corpo testo"/>
    <w:basedOn w:val="Normale"/>
    <w:rsid w:val="009F0250"/>
    <w:pPr>
      <w:spacing w:after="120"/>
      <w:jc w:val="both"/>
    </w:pPr>
    <w:rPr>
      <w:rFonts w:ascii="Times" w:hAnsi="Times"/>
      <w:sz w:val="22"/>
      <w:szCs w:val="20"/>
    </w:rPr>
  </w:style>
  <w:style w:type="paragraph" w:customStyle="1" w:styleId="CarattereCarattereCarattereCarattereCarattereCarattere">
    <w:name w:val="Carattere Carattere Carattere Carattere Carattere Carattere"/>
    <w:basedOn w:val="Normale"/>
    <w:rsid w:val="009F0250"/>
    <w:pPr>
      <w:spacing w:after="160" w:line="240" w:lineRule="exact"/>
    </w:pPr>
    <w:rPr>
      <w:rFonts w:ascii="Tahoma" w:hAnsi="Tahoma"/>
      <w:sz w:val="20"/>
      <w:szCs w:val="20"/>
      <w:lang w:val="en-US" w:eastAsia="en-US"/>
    </w:rPr>
  </w:style>
  <w:style w:type="paragraph" w:customStyle="1" w:styleId="Style5">
    <w:name w:val="Style 5"/>
    <w:basedOn w:val="Normale"/>
    <w:rsid w:val="009F0250"/>
    <w:pPr>
      <w:widowControl w:val="0"/>
      <w:autoSpaceDE w:val="0"/>
      <w:autoSpaceDN w:val="0"/>
      <w:spacing w:line="480" w:lineRule="auto"/>
      <w:ind w:left="360" w:right="1512" w:hanging="360"/>
      <w:jc w:val="both"/>
    </w:pPr>
  </w:style>
  <w:style w:type="paragraph" w:customStyle="1" w:styleId="style50">
    <w:name w:val="style5"/>
    <w:basedOn w:val="Normale"/>
    <w:rsid w:val="00F11395"/>
    <w:pPr>
      <w:spacing w:line="480" w:lineRule="auto"/>
      <w:ind w:left="360" w:right="1512" w:hanging="360"/>
      <w:jc w:val="both"/>
    </w:pPr>
  </w:style>
  <w:style w:type="paragraph" w:styleId="Paragrafoelenco">
    <w:name w:val="List Paragraph"/>
    <w:basedOn w:val="Normale"/>
    <w:uiPriority w:val="34"/>
    <w:qFormat/>
    <w:rsid w:val="00381E8E"/>
    <w:pPr>
      <w:spacing w:after="200" w:line="276" w:lineRule="auto"/>
      <w:ind w:left="720"/>
      <w:contextualSpacing/>
    </w:pPr>
    <w:rPr>
      <w:rFonts w:ascii="Calibri" w:eastAsia="Calibri" w:hAnsi="Calibri"/>
      <w:sz w:val="22"/>
      <w:szCs w:val="22"/>
      <w:lang w:eastAsia="en-US"/>
    </w:rPr>
  </w:style>
  <w:style w:type="paragraph" w:styleId="Revisione">
    <w:name w:val="Revision"/>
    <w:hidden/>
    <w:uiPriority w:val="99"/>
    <w:semiHidden/>
    <w:rsid w:val="006771ED"/>
    <w:rPr>
      <w:sz w:val="24"/>
      <w:szCs w:val="24"/>
    </w:rPr>
  </w:style>
  <w:style w:type="paragraph" w:customStyle="1" w:styleId="CM1">
    <w:name w:val="CM1"/>
    <w:basedOn w:val="Normale"/>
    <w:next w:val="Normale"/>
    <w:uiPriority w:val="99"/>
    <w:rsid w:val="0052372A"/>
    <w:pPr>
      <w:autoSpaceDE w:val="0"/>
      <w:autoSpaceDN w:val="0"/>
      <w:adjustRightInd w:val="0"/>
    </w:pPr>
    <w:rPr>
      <w:rFonts w:ascii="EUAlbertina" w:hAnsi="EUAlbertina"/>
    </w:rPr>
  </w:style>
  <w:style w:type="paragraph" w:customStyle="1" w:styleId="CM3">
    <w:name w:val="CM3"/>
    <w:basedOn w:val="Normale"/>
    <w:next w:val="Normale"/>
    <w:uiPriority w:val="99"/>
    <w:rsid w:val="0052372A"/>
    <w:pPr>
      <w:autoSpaceDE w:val="0"/>
      <w:autoSpaceDN w:val="0"/>
      <w:adjustRightInd w:val="0"/>
    </w:pPr>
    <w:rPr>
      <w:rFonts w:ascii="EUAlbertina" w:hAnsi="EUAlbertina"/>
    </w:rPr>
  </w:style>
  <w:style w:type="paragraph" w:customStyle="1" w:styleId="CM4">
    <w:name w:val="CM4"/>
    <w:basedOn w:val="Normale"/>
    <w:next w:val="Normale"/>
    <w:uiPriority w:val="99"/>
    <w:rsid w:val="0052372A"/>
    <w:pPr>
      <w:autoSpaceDE w:val="0"/>
      <w:autoSpaceDN w:val="0"/>
      <w:adjustRightInd w:val="0"/>
    </w:pPr>
    <w:rPr>
      <w:rFonts w:ascii="EUAlbertina" w:hAnsi="EUAlbertina"/>
    </w:rPr>
  </w:style>
  <w:style w:type="character" w:customStyle="1" w:styleId="notranslate">
    <w:name w:val="notranslate"/>
    <w:basedOn w:val="Carpredefinitoparagrafo"/>
    <w:rsid w:val="00873D1C"/>
  </w:style>
  <w:style w:type="character" w:customStyle="1" w:styleId="apple-converted-space">
    <w:name w:val="apple-converted-space"/>
    <w:basedOn w:val="Carpredefinitoparagrafo"/>
    <w:rsid w:val="00873D1C"/>
  </w:style>
  <w:style w:type="paragraph" w:styleId="PreformattatoHTML">
    <w:name w:val="HTML Preformatted"/>
    <w:basedOn w:val="Normale"/>
    <w:link w:val="PreformattatoHTMLCarattere"/>
    <w:uiPriority w:val="99"/>
    <w:unhideWhenUsed/>
    <w:rsid w:val="0064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425B7"/>
    <w:rPr>
      <w:rFonts w:ascii="Courier New" w:hAnsi="Courier New" w:cs="Courier New"/>
    </w:rPr>
  </w:style>
  <w:style w:type="paragraph" w:customStyle="1" w:styleId="Default">
    <w:name w:val="Default"/>
    <w:rsid w:val="00D5163F"/>
    <w:pPr>
      <w:autoSpaceDE w:val="0"/>
      <w:autoSpaceDN w:val="0"/>
      <w:adjustRightInd w:val="0"/>
    </w:pPr>
    <w:rPr>
      <w:rFonts w:ascii="EUAlbertina" w:hAnsi="EUAlbertina" w:cs="EUAlbertina"/>
      <w:color w:val="000000"/>
      <w:sz w:val="24"/>
      <w:szCs w:val="24"/>
    </w:rPr>
  </w:style>
  <w:style w:type="paragraph" w:styleId="Sommario3">
    <w:name w:val="toc 3"/>
    <w:basedOn w:val="Normale"/>
    <w:next w:val="Normale"/>
    <w:autoRedefine/>
    <w:uiPriority w:val="39"/>
    <w:rsid w:val="00850637"/>
    <w:pPr>
      <w:ind w:left="480"/>
    </w:pPr>
  </w:style>
  <w:style w:type="character" w:customStyle="1" w:styleId="PidipaginaCarattere">
    <w:name w:val="Piè di pagina Carattere"/>
    <w:link w:val="Pidipagina"/>
    <w:uiPriority w:val="99"/>
    <w:rsid w:val="005B1763"/>
    <w:rPr>
      <w:sz w:val="24"/>
      <w:szCs w:val="24"/>
    </w:rPr>
  </w:style>
  <w:style w:type="character" w:customStyle="1" w:styleId="TestocommentoCarattere">
    <w:name w:val="Testo commento Carattere"/>
    <w:link w:val="Testocommento"/>
    <w:semiHidden/>
    <w:rsid w:val="009C65F6"/>
  </w:style>
  <w:style w:type="character" w:customStyle="1" w:styleId="IntestazioneCarattere">
    <w:name w:val="Intestazione Carattere"/>
    <w:link w:val="Intestazione"/>
    <w:uiPriority w:val="99"/>
    <w:rsid w:val="006748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2CDF"/>
    <w:rPr>
      <w:sz w:val="24"/>
      <w:szCs w:val="24"/>
    </w:rPr>
  </w:style>
  <w:style w:type="paragraph" w:styleId="Titolo1">
    <w:name w:val="heading 1"/>
    <w:basedOn w:val="Normale"/>
    <w:next w:val="Normale"/>
    <w:link w:val="Titolo1Carattere"/>
    <w:qFormat/>
    <w:rsid w:val="00181592"/>
    <w:pPr>
      <w:keepNext/>
      <w:spacing w:before="240" w:after="60"/>
      <w:outlineLvl w:val="0"/>
    </w:pPr>
    <w:rPr>
      <w:rFonts w:ascii="Cambria" w:hAnsi="Cambria"/>
      <w:b/>
      <w:bCs/>
      <w:kern w:val="32"/>
      <w:sz w:val="32"/>
      <w:szCs w:val="32"/>
    </w:rPr>
  </w:style>
  <w:style w:type="paragraph" w:styleId="Titolo2">
    <w:name w:val="heading 2"/>
    <w:aliases w:val=" Carattere"/>
    <w:basedOn w:val="Normale"/>
    <w:next w:val="Normale"/>
    <w:link w:val="Titolo2Carattere"/>
    <w:qFormat/>
    <w:rsid w:val="00181592"/>
    <w:pPr>
      <w:keepNext/>
      <w:spacing w:before="240" w:after="60"/>
      <w:outlineLvl w:val="1"/>
    </w:pPr>
    <w:rPr>
      <w:b/>
      <w:bCs/>
      <w:iCs/>
      <w:szCs w:val="28"/>
    </w:rPr>
  </w:style>
  <w:style w:type="paragraph" w:styleId="Titolo3">
    <w:name w:val="heading 3"/>
    <w:basedOn w:val="Normale"/>
    <w:next w:val="Normale"/>
    <w:link w:val="Titolo3Carattere"/>
    <w:semiHidden/>
    <w:unhideWhenUsed/>
    <w:qFormat/>
    <w:rsid w:val="00030BB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81592"/>
    <w:rPr>
      <w:rFonts w:ascii="Cambria" w:eastAsia="Times New Roman" w:hAnsi="Cambria" w:cs="Times New Roman"/>
      <w:b/>
      <w:bCs/>
      <w:kern w:val="32"/>
      <w:sz w:val="32"/>
      <w:szCs w:val="32"/>
    </w:rPr>
  </w:style>
  <w:style w:type="character" w:customStyle="1" w:styleId="Titolo2Carattere">
    <w:name w:val="Titolo 2 Carattere"/>
    <w:aliases w:val=" Carattere Carattere"/>
    <w:link w:val="Titolo2"/>
    <w:rsid w:val="00181592"/>
    <w:rPr>
      <w:rFonts w:eastAsia="Times New Roman" w:cs="Times New Roman"/>
      <w:b/>
      <w:bCs/>
      <w:iCs/>
      <w:sz w:val="24"/>
      <w:szCs w:val="28"/>
    </w:rPr>
  </w:style>
  <w:style w:type="character" w:customStyle="1" w:styleId="Titolo3Carattere">
    <w:name w:val="Titolo 3 Carattere"/>
    <w:link w:val="Titolo3"/>
    <w:semiHidden/>
    <w:rsid w:val="00030BB8"/>
    <w:rPr>
      <w:rFonts w:ascii="Cambria" w:eastAsia="Times New Roman" w:hAnsi="Cambria" w:cs="Times New Roman"/>
      <w:b/>
      <w:bCs/>
      <w:sz w:val="26"/>
      <w:szCs w:val="26"/>
    </w:rPr>
  </w:style>
  <w:style w:type="paragraph" w:customStyle="1" w:styleId="a">
    <w:basedOn w:val="Normale"/>
    <w:rsid w:val="002B2CDF"/>
    <w:pPr>
      <w:spacing w:after="160" w:line="240" w:lineRule="exact"/>
    </w:pPr>
    <w:rPr>
      <w:rFonts w:ascii="Tahoma" w:hAnsi="Tahoma"/>
      <w:sz w:val="20"/>
      <w:szCs w:val="20"/>
      <w:lang w:val="en-US" w:eastAsia="en-US"/>
    </w:rPr>
  </w:style>
  <w:style w:type="paragraph" w:styleId="Intestazione">
    <w:name w:val="header"/>
    <w:basedOn w:val="Normale"/>
    <w:link w:val="IntestazioneCarattere"/>
    <w:uiPriority w:val="99"/>
    <w:rsid w:val="002B2CDF"/>
    <w:pPr>
      <w:tabs>
        <w:tab w:val="center" w:pos="4819"/>
        <w:tab w:val="right" w:pos="9638"/>
      </w:tabs>
    </w:pPr>
  </w:style>
  <w:style w:type="paragraph" w:styleId="Rientrocorpodeltesto">
    <w:name w:val="Body Text Indent"/>
    <w:basedOn w:val="Normale"/>
    <w:rsid w:val="002B2CDF"/>
    <w:pPr>
      <w:tabs>
        <w:tab w:val="left" w:pos="567"/>
      </w:tabs>
      <w:ind w:left="1134" w:hanging="1134"/>
      <w:jc w:val="both"/>
    </w:pPr>
    <w:rPr>
      <w:b/>
    </w:rPr>
  </w:style>
  <w:style w:type="paragraph" w:customStyle="1" w:styleId="Normale24pt">
    <w:name w:val="Normale + 24 pt"/>
    <w:basedOn w:val="Normale"/>
    <w:rsid w:val="002B2CDF"/>
    <w:pPr>
      <w:jc w:val="center"/>
    </w:pPr>
    <w:rPr>
      <w:sz w:val="48"/>
      <w:szCs w:val="48"/>
    </w:rPr>
  </w:style>
  <w:style w:type="paragraph" w:styleId="Pidipagina">
    <w:name w:val="footer"/>
    <w:basedOn w:val="Normale"/>
    <w:link w:val="PidipaginaCarattere"/>
    <w:uiPriority w:val="99"/>
    <w:rsid w:val="0066774B"/>
    <w:pPr>
      <w:tabs>
        <w:tab w:val="center" w:pos="4819"/>
        <w:tab w:val="right" w:pos="9638"/>
      </w:tabs>
    </w:pPr>
  </w:style>
  <w:style w:type="character" w:styleId="Numeropagina">
    <w:name w:val="page number"/>
    <w:basedOn w:val="Carpredefinitoparagrafo"/>
    <w:rsid w:val="0066774B"/>
  </w:style>
  <w:style w:type="paragraph" w:customStyle="1" w:styleId="Corpotesto1">
    <w:name w:val="Corpo testo1"/>
    <w:basedOn w:val="Normale"/>
    <w:rsid w:val="0057437F"/>
    <w:pPr>
      <w:spacing w:after="120"/>
    </w:pPr>
  </w:style>
  <w:style w:type="paragraph" w:styleId="Rientrocorpodeltesto2">
    <w:name w:val="Body Text Indent 2"/>
    <w:basedOn w:val="Normale"/>
    <w:rsid w:val="0057437F"/>
    <w:pPr>
      <w:spacing w:after="120" w:line="480" w:lineRule="auto"/>
      <w:ind w:left="283"/>
    </w:pPr>
  </w:style>
  <w:style w:type="paragraph" w:styleId="Testonotaapidipagina">
    <w:name w:val="footnote text"/>
    <w:basedOn w:val="Normale"/>
    <w:semiHidden/>
    <w:rsid w:val="00FD246C"/>
    <w:rPr>
      <w:sz w:val="20"/>
      <w:szCs w:val="20"/>
    </w:rPr>
  </w:style>
  <w:style w:type="character" w:styleId="Rimandonotaapidipagina">
    <w:name w:val="footnote reference"/>
    <w:semiHidden/>
    <w:rsid w:val="00FD246C"/>
    <w:rPr>
      <w:vertAlign w:val="superscript"/>
    </w:rPr>
  </w:style>
  <w:style w:type="paragraph" w:styleId="Corpodeltesto2">
    <w:name w:val="Body Text 2"/>
    <w:basedOn w:val="Normale"/>
    <w:rsid w:val="00E864B5"/>
    <w:pPr>
      <w:spacing w:after="120" w:line="480" w:lineRule="auto"/>
    </w:pPr>
  </w:style>
  <w:style w:type="paragraph" w:styleId="Corpodeltesto3">
    <w:name w:val="Body Text 3"/>
    <w:basedOn w:val="Normale"/>
    <w:rsid w:val="00E864B5"/>
    <w:pPr>
      <w:spacing w:after="120"/>
    </w:pPr>
    <w:rPr>
      <w:sz w:val="16"/>
      <w:szCs w:val="16"/>
    </w:rPr>
  </w:style>
  <w:style w:type="paragraph" w:styleId="Rientrocorpodeltesto3">
    <w:name w:val="Body Text Indent 3"/>
    <w:basedOn w:val="Normale"/>
    <w:rsid w:val="00E864B5"/>
    <w:pPr>
      <w:spacing w:after="120"/>
      <w:ind w:left="283"/>
    </w:pPr>
    <w:rPr>
      <w:sz w:val="16"/>
      <w:szCs w:val="16"/>
    </w:rPr>
  </w:style>
  <w:style w:type="character" w:styleId="Collegamentoipertestuale">
    <w:name w:val="Hyperlink"/>
    <w:uiPriority w:val="99"/>
    <w:rsid w:val="00385D5B"/>
    <w:rPr>
      <w:b/>
      <w:bCs/>
      <w:strike w:val="0"/>
      <w:dstrike w:val="0"/>
      <w:color w:val="0033FF"/>
      <w:u w:val="none"/>
      <w:effect w:val="none"/>
    </w:rPr>
  </w:style>
  <w:style w:type="paragraph" w:styleId="NormaleWeb">
    <w:name w:val="Normal (Web)"/>
    <w:basedOn w:val="Normale"/>
    <w:uiPriority w:val="99"/>
    <w:rsid w:val="00727B3B"/>
    <w:pPr>
      <w:spacing w:before="100" w:beforeAutospacing="1" w:after="100" w:afterAutospacing="1"/>
    </w:pPr>
  </w:style>
  <w:style w:type="character" w:styleId="Enfasicorsivo">
    <w:name w:val="Emphasis"/>
    <w:qFormat/>
    <w:rsid w:val="00727B3B"/>
    <w:rPr>
      <w:i/>
      <w:iCs/>
    </w:rPr>
  </w:style>
  <w:style w:type="paragraph" w:styleId="Testofumetto">
    <w:name w:val="Balloon Text"/>
    <w:basedOn w:val="Normale"/>
    <w:semiHidden/>
    <w:rsid w:val="00F83B92"/>
    <w:rPr>
      <w:rFonts w:ascii="Tahoma" w:hAnsi="Tahoma" w:cs="Tahoma"/>
      <w:sz w:val="16"/>
      <w:szCs w:val="16"/>
    </w:rPr>
  </w:style>
  <w:style w:type="character" w:customStyle="1" w:styleId="highlightedsearchterm">
    <w:name w:val="highlightedsearchterm"/>
    <w:basedOn w:val="Carpredefinitoparagrafo"/>
    <w:rsid w:val="00543A3B"/>
  </w:style>
  <w:style w:type="character" w:styleId="Enfasigrassetto">
    <w:name w:val="Strong"/>
    <w:uiPriority w:val="22"/>
    <w:qFormat/>
    <w:rsid w:val="005937BE"/>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2449C7"/>
    <w:pPr>
      <w:spacing w:after="160" w:line="240" w:lineRule="exact"/>
    </w:pPr>
    <w:rPr>
      <w:rFonts w:ascii="Tahoma" w:hAnsi="Tahoma"/>
      <w:sz w:val="20"/>
      <w:szCs w:val="20"/>
      <w:lang w:val="en-US" w:eastAsia="en-US"/>
    </w:rPr>
  </w:style>
  <w:style w:type="character" w:styleId="Rimandocommento">
    <w:name w:val="annotation reference"/>
    <w:semiHidden/>
    <w:rsid w:val="007E6873"/>
    <w:rPr>
      <w:sz w:val="16"/>
      <w:szCs w:val="16"/>
    </w:rPr>
  </w:style>
  <w:style w:type="paragraph" w:styleId="Testocommento">
    <w:name w:val="annotation text"/>
    <w:basedOn w:val="Normale"/>
    <w:link w:val="TestocommentoCarattere"/>
    <w:semiHidden/>
    <w:rsid w:val="007E6873"/>
    <w:rPr>
      <w:sz w:val="20"/>
      <w:szCs w:val="20"/>
    </w:rPr>
  </w:style>
  <w:style w:type="paragraph" w:styleId="Soggettocommento">
    <w:name w:val="annotation subject"/>
    <w:basedOn w:val="Testocommento"/>
    <w:next w:val="Testocommento"/>
    <w:semiHidden/>
    <w:rsid w:val="007E6873"/>
    <w:rPr>
      <w:b/>
      <w:bCs/>
    </w:rPr>
  </w:style>
  <w:style w:type="table" w:styleId="Grigliatabella">
    <w:name w:val="Table Grid"/>
    <w:basedOn w:val="Tabellanormale"/>
    <w:rsid w:val="0050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sommario1">
    <w:name w:val="Titolo sommario1"/>
    <w:basedOn w:val="Titolo1"/>
    <w:next w:val="Normale"/>
    <w:uiPriority w:val="39"/>
    <w:qFormat/>
    <w:rsid w:val="00181592"/>
    <w:pPr>
      <w:keepLines/>
      <w:spacing w:before="480" w:after="0" w:line="276" w:lineRule="auto"/>
      <w:outlineLvl w:val="9"/>
    </w:pPr>
    <w:rPr>
      <w:color w:val="365F91"/>
      <w:kern w:val="0"/>
      <w:sz w:val="28"/>
      <w:szCs w:val="28"/>
      <w:lang w:val="en-US" w:eastAsia="en-US"/>
    </w:rPr>
  </w:style>
  <w:style w:type="paragraph" w:styleId="Titolo">
    <w:name w:val="Title"/>
    <w:basedOn w:val="Normale"/>
    <w:next w:val="Normale"/>
    <w:link w:val="TitoloCarattere"/>
    <w:qFormat/>
    <w:rsid w:val="00181592"/>
    <w:pPr>
      <w:spacing w:before="240" w:after="60"/>
      <w:jc w:val="center"/>
      <w:outlineLvl w:val="0"/>
    </w:pPr>
    <w:rPr>
      <w:b/>
      <w:bCs/>
      <w:kern w:val="28"/>
      <w:sz w:val="28"/>
      <w:szCs w:val="32"/>
    </w:rPr>
  </w:style>
  <w:style w:type="character" w:customStyle="1" w:styleId="TitoloCarattere">
    <w:name w:val="Titolo Carattere"/>
    <w:link w:val="Titolo"/>
    <w:rsid w:val="00181592"/>
    <w:rPr>
      <w:rFonts w:eastAsia="Times New Roman" w:cs="Times New Roman"/>
      <w:b/>
      <w:bCs/>
      <w:kern w:val="28"/>
      <w:sz w:val="28"/>
      <w:szCs w:val="32"/>
    </w:rPr>
  </w:style>
  <w:style w:type="paragraph" w:customStyle="1" w:styleId="Heading">
    <w:name w:val="Heading"/>
    <w:basedOn w:val="Titolo1"/>
    <w:qFormat/>
    <w:rsid w:val="00181592"/>
  </w:style>
  <w:style w:type="paragraph" w:styleId="Sommario1">
    <w:name w:val="toc 1"/>
    <w:basedOn w:val="Normale"/>
    <w:next w:val="Normale"/>
    <w:autoRedefine/>
    <w:uiPriority w:val="39"/>
    <w:rsid w:val="00E9426F"/>
    <w:pPr>
      <w:ind w:right="126"/>
    </w:pPr>
    <w:rPr>
      <w:noProof/>
    </w:rPr>
  </w:style>
  <w:style w:type="paragraph" w:styleId="Sommario2">
    <w:name w:val="toc 2"/>
    <w:basedOn w:val="Normale"/>
    <w:next w:val="Normale"/>
    <w:autoRedefine/>
    <w:uiPriority w:val="39"/>
    <w:rsid w:val="00181592"/>
    <w:pPr>
      <w:ind w:left="240"/>
    </w:pPr>
  </w:style>
  <w:style w:type="paragraph" w:customStyle="1" w:styleId="Revisione1">
    <w:name w:val="Revisione1"/>
    <w:hidden/>
    <w:uiPriority w:val="99"/>
    <w:semiHidden/>
    <w:rsid w:val="00BE1DC4"/>
    <w:rPr>
      <w:sz w:val="24"/>
      <w:szCs w:val="24"/>
    </w:rPr>
  </w:style>
  <w:style w:type="paragraph" w:customStyle="1" w:styleId="Indentro">
    <w:name w:val="Indentro"/>
    <w:basedOn w:val="Normale"/>
    <w:rsid w:val="002F5A2B"/>
    <w:pPr>
      <w:spacing w:before="120"/>
      <w:ind w:left="397" w:hanging="397"/>
      <w:jc w:val="both"/>
    </w:pPr>
  </w:style>
  <w:style w:type="paragraph" w:customStyle="1" w:styleId="PSR-corpotesto">
    <w:name w:val="PSR - corpo testo"/>
    <w:basedOn w:val="Normale"/>
    <w:rsid w:val="009F0250"/>
    <w:pPr>
      <w:spacing w:after="120"/>
      <w:jc w:val="both"/>
    </w:pPr>
    <w:rPr>
      <w:rFonts w:ascii="Times" w:hAnsi="Times"/>
      <w:sz w:val="22"/>
      <w:szCs w:val="20"/>
    </w:rPr>
  </w:style>
  <w:style w:type="paragraph" w:customStyle="1" w:styleId="CarattereCarattereCarattereCarattereCarattereCarattere">
    <w:name w:val="Carattere Carattere Carattere Carattere Carattere Carattere"/>
    <w:basedOn w:val="Normale"/>
    <w:rsid w:val="009F0250"/>
    <w:pPr>
      <w:spacing w:after="160" w:line="240" w:lineRule="exact"/>
    </w:pPr>
    <w:rPr>
      <w:rFonts w:ascii="Tahoma" w:hAnsi="Tahoma"/>
      <w:sz w:val="20"/>
      <w:szCs w:val="20"/>
      <w:lang w:val="en-US" w:eastAsia="en-US"/>
    </w:rPr>
  </w:style>
  <w:style w:type="paragraph" w:customStyle="1" w:styleId="Style5">
    <w:name w:val="Style 5"/>
    <w:basedOn w:val="Normale"/>
    <w:rsid w:val="009F0250"/>
    <w:pPr>
      <w:widowControl w:val="0"/>
      <w:autoSpaceDE w:val="0"/>
      <w:autoSpaceDN w:val="0"/>
      <w:spacing w:line="480" w:lineRule="auto"/>
      <w:ind w:left="360" w:right="1512" w:hanging="360"/>
      <w:jc w:val="both"/>
    </w:pPr>
  </w:style>
  <w:style w:type="paragraph" w:customStyle="1" w:styleId="style50">
    <w:name w:val="style5"/>
    <w:basedOn w:val="Normale"/>
    <w:rsid w:val="00F11395"/>
    <w:pPr>
      <w:spacing w:line="480" w:lineRule="auto"/>
      <w:ind w:left="360" w:right="1512" w:hanging="360"/>
      <w:jc w:val="both"/>
    </w:pPr>
  </w:style>
  <w:style w:type="paragraph" w:styleId="Paragrafoelenco">
    <w:name w:val="List Paragraph"/>
    <w:basedOn w:val="Normale"/>
    <w:uiPriority w:val="34"/>
    <w:qFormat/>
    <w:rsid w:val="00381E8E"/>
    <w:pPr>
      <w:spacing w:after="200" w:line="276" w:lineRule="auto"/>
      <w:ind w:left="720"/>
      <w:contextualSpacing/>
    </w:pPr>
    <w:rPr>
      <w:rFonts w:ascii="Calibri" w:eastAsia="Calibri" w:hAnsi="Calibri"/>
      <w:sz w:val="22"/>
      <w:szCs w:val="22"/>
      <w:lang w:eastAsia="en-US"/>
    </w:rPr>
  </w:style>
  <w:style w:type="paragraph" w:styleId="Revisione">
    <w:name w:val="Revision"/>
    <w:hidden/>
    <w:uiPriority w:val="99"/>
    <w:semiHidden/>
    <w:rsid w:val="006771ED"/>
    <w:rPr>
      <w:sz w:val="24"/>
      <w:szCs w:val="24"/>
    </w:rPr>
  </w:style>
  <w:style w:type="paragraph" w:customStyle="1" w:styleId="CM1">
    <w:name w:val="CM1"/>
    <w:basedOn w:val="Normale"/>
    <w:next w:val="Normale"/>
    <w:uiPriority w:val="99"/>
    <w:rsid w:val="0052372A"/>
    <w:pPr>
      <w:autoSpaceDE w:val="0"/>
      <w:autoSpaceDN w:val="0"/>
      <w:adjustRightInd w:val="0"/>
    </w:pPr>
    <w:rPr>
      <w:rFonts w:ascii="EUAlbertina" w:hAnsi="EUAlbertina"/>
    </w:rPr>
  </w:style>
  <w:style w:type="paragraph" w:customStyle="1" w:styleId="CM3">
    <w:name w:val="CM3"/>
    <w:basedOn w:val="Normale"/>
    <w:next w:val="Normale"/>
    <w:uiPriority w:val="99"/>
    <w:rsid w:val="0052372A"/>
    <w:pPr>
      <w:autoSpaceDE w:val="0"/>
      <w:autoSpaceDN w:val="0"/>
      <w:adjustRightInd w:val="0"/>
    </w:pPr>
    <w:rPr>
      <w:rFonts w:ascii="EUAlbertina" w:hAnsi="EUAlbertina"/>
    </w:rPr>
  </w:style>
  <w:style w:type="paragraph" w:customStyle="1" w:styleId="CM4">
    <w:name w:val="CM4"/>
    <w:basedOn w:val="Normale"/>
    <w:next w:val="Normale"/>
    <w:uiPriority w:val="99"/>
    <w:rsid w:val="0052372A"/>
    <w:pPr>
      <w:autoSpaceDE w:val="0"/>
      <w:autoSpaceDN w:val="0"/>
      <w:adjustRightInd w:val="0"/>
    </w:pPr>
    <w:rPr>
      <w:rFonts w:ascii="EUAlbertina" w:hAnsi="EUAlbertina"/>
    </w:rPr>
  </w:style>
  <w:style w:type="character" w:customStyle="1" w:styleId="notranslate">
    <w:name w:val="notranslate"/>
    <w:basedOn w:val="Carpredefinitoparagrafo"/>
    <w:rsid w:val="00873D1C"/>
  </w:style>
  <w:style w:type="character" w:customStyle="1" w:styleId="apple-converted-space">
    <w:name w:val="apple-converted-space"/>
    <w:basedOn w:val="Carpredefinitoparagrafo"/>
    <w:rsid w:val="00873D1C"/>
  </w:style>
  <w:style w:type="paragraph" w:styleId="PreformattatoHTML">
    <w:name w:val="HTML Preformatted"/>
    <w:basedOn w:val="Normale"/>
    <w:link w:val="PreformattatoHTMLCarattere"/>
    <w:uiPriority w:val="99"/>
    <w:unhideWhenUsed/>
    <w:rsid w:val="0064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425B7"/>
    <w:rPr>
      <w:rFonts w:ascii="Courier New" w:hAnsi="Courier New" w:cs="Courier New"/>
    </w:rPr>
  </w:style>
  <w:style w:type="paragraph" w:customStyle="1" w:styleId="Default">
    <w:name w:val="Default"/>
    <w:rsid w:val="00D5163F"/>
    <w:pPr>
      <w:autoSpaceDE w:val="0"/>
      <w:autoSpaceDN w:val="0"/>
      <w:adjustRightInd w:val="0"/>
    </w:pPr>
    <w:rPr>
      <w:rFonts w:ascii="EUAlbertina" w:hAnsi="EUAlbertina" w:cs="EUAlbertina"/>
      <w:color w:val="000000"/>
      <w:sz w:val="24"/>
      <w:szCs w:val="24"/>
    </w:rPr>
  </w:style>
  <w:style w:type="paragraph" w:styleId="Sommario3">
    <w:name w:val="toc 3"/>
    <w:basedOn w:val="Normale"/>
    <w:next w:val="Normale"/>
    <w:autoRedefine/>
    <w:uiPriority w:val="39"/>
    <w:rsid w:val="00850637"/>
    <w:pPr>
      <w:ind w:left="480"/>
    </w:pPr>
  </w:style>
  <w:style w:type="character" w:customStyle="1" w:styleId="PidipaginaCarattere">
    <w:name w:val="Piè di pagina Carattere"/>
    <w:link w:val="Pidipagina"/>
    <w:uiPriority w:val="99"/>
    <w:rsid w:val="005B1763"/>
    <w:rPr>
      <w:sz w:val="24"/>
      <w:szCs w:val="24"/>
    </w:rPr>
  </w:style>
  <w:style w:type="character" w:customStyle="1" w:styleId="TestocommentoCarattere">
    <w:name w:val="Testo commento Carattere"/>
    <w:link w:val="Testocommento"/>
    <w:semiHidden/>
    <w:rsid w:val="009C65F6"/>
  </w:style>
  <w:style w:type="character" w:customStyle="1" w:styleId="IntestazioneCarattere">
    <w:name w:val="Intestazione Carattere"/>
    <w:link w:val="Intestazione"/>
    <w:uiPriority w:val="99"/>
    <w:rsid w:val="00674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760">
      <w:bodyDiv w:val="1"/>
      <w:marLeft w:val="0"/>
      <w:marRight w:val="0"/>
      <w:marTop w:val="0"/>
      <w:marBottom w:val="0"/>
      <w:divBdr>
        <w:top w:val="none" w:sz="0" w:space="0" w:color="auto"/>
        <w:left w:val="none" w:sz="0" w:space="0" w:color="auto"/>
        <w:bottom w:val="none" w:sz="0" w:space="0" w:color="auto"/>
        <w:right w:val="none" w:sz="0" w:space="0" w:color="auto"/>
      </w:divBdr>
    </w:div>
    <w:div w:id="53821383">
      <w:bodyDiv w:val="1"/>
      <w:marLeft w:val="0"/>
      <w:marRight w:val="0"/>
      <w:marTop w:val="0"/>
      <w:marBottom w:val="0"/>
      <w:divBdr>
        <w:top w:val="none" w:sz="0" w:space="0" w:color="auto"/>
        <w:left w:val="none" w:sz="0" w:space="0" w:color="auto"/>
        <w:bottom w:val="none" w:sz="0" w:space="0" w:color="auto"/>
        <w:right w:val="none" w:sz="0" w:space="0" w:color="auto"/>
      </w:divBdr>
    </w:div>
    <w:div w:id="57435521">
      <w:bodyDiv w:val="1"/>
      <w:marLeft w:val="0"/>
      <w:marRight w:val="0"/>
      <w:marTop w:val="0"/>
      <w:marBottom w:val="0"/>
      <w:divBdr>
        <w:top w:val="none" w:sz="0" w:space="0" w:color="auto"/>
        <w:left w:val="none" w:sz="0" w:space="0" w:color="auto"/>
        <w:bottom w:val="none" w:sz="0" w:space="0" w:color="auto"/>
        <w:right w:val="none" w:sz="0" w:space="0" w:color="auto"/>
      </w:divBdr>
    </w:div>
    <w:div w:id="68964527">
      <w:bodyDiv w:val="1"/>
      <w:marLeft w:val="0"/>
      <w:marRight w:val="0"/>
      <w:marTop w:val="0"/>
      <w:marBottom w:val="0"/>
      <w:divBdr>
        <w:top w:val="none" w:sz="0" w:space="0" w:color="auto"/>
        <w:left w:val="none" w:sz="0" w:space="0" w:color="auto"/>
        <w:bottom w:val="none" w:sz="0" w:space="0" w:color="auto"/>
        <w:right w:val="none" w:sz="0" w:space="0" w:color="auto"/>
      </w:divBdr>
    </w:div>
    <w:div w:id="86584086">
      <w:bodyDiv w:val="1"/>
      <w:marLeft w:val="0"/>
      <w:marRight w:val="0"/>
      <w:marTop w:val="0"/>
      <w:marBottom w:val="0"/>
      <w:divBdr>
        <w:top w:val="none" w:sz="0" w:space="0" w:color="auto"/>
        <w:left w:val="none" w:sz="0" w:space="0" w:color="auto"/>
        <w:bottom w:val="none" w:sz="0" w:space="0" w:color="auto"/>
        <w:right w:val="none" w:sz="0" w:space="0" w:color="auto"/>
      </w:divBdr>
    </w:div>
    <w:div w:id="125047587">
      <w:bodyDiv w:val="1"/>
      <w:marLeft w:val="0"/>
      <w:marRight w:val="0"/>
      <w:marTop w:val="0"/>
      <w:marBottom w:val="0"/>
      <w:divBdr>
        <w:top w:val="none" w:sz="0" w:space="0" w:color="auto"/>
        <w:left w:val="none" w:sz="0" w:space="0" w:color="auto"/>
        <w:bottom w:val="none" w:sz="0" w:space="0" w:color="auto"/>
        <w:right w:val="none" w:sz="0" w:space="0" w:color="auto"/>
      </w:divBdr>
      <w:divsChild>
        <w:div w:id="18897165">
          <w:marLeft w:val="0"/>
          <w:marRight w:val="0"/>
          <w:marTop w:val="0"/>
          <w:marBottom w:val="0"/>
          <w:divBdr>
            <w:top w:val="none" w:sz="0" w:space="0" w:color="auto"/>
            <w:left w:val="none" w:sz="0" w:space="0" w:color="auto"/>
            <w:bottom w:val="none" w:sz="0" w:space="0" w:color="auto"/>
            <w:right w:val="none" w:sz="0" w:space="0" w:color="auto"/>
          </w:divBdr>
        </w:div>
        <w:div w:id="20522844">
          <w:marLeft w:val="0"/>
          <w:marRight w:val="0"/>
          <w:marTop w:val="0"/>
          <w:marBottom w:val="0"/>
          <w:divBdr>
            <w:top w:val="none" w:sz="0" w:space="0" w:color="auto"/>
            <w:left w:val="none" w:sz="0" w:space="0" w:color="auto"/>
            <w:bottom w:val="none" w:sz="0" w:space="0" w:color="auto"/>
            <w:right w:val="none" w:sz="0" w:space="0" w:color="auto"/>
          </w:divBdr>
        </w:div>
        <w:div w:id="28722909">
          <w:marLeft w:val="0"/>
          <w:marRight w:val="0"/>
          <w:marTop w:val="0"/>
          <w:marBottom w:val="0"/>
          <w:divBdr>
            <w:top w:val="none" w:sz="0" w:space="0" w:color="auto"/>
            <w:left w:val="none" w:sz="0" w:space="0" w:color="auto"/>
            <w:bottom w:val="none" w:sz="0" w:space="0" w:color="auto"/>
            <w:right w:val="none" w:sz="0" w:space="0" w:color="auto"/>
          </w:divBdr>
        </w:div>
        <w:div w:id="29188750">
          <w:marLeft w:val="0"/>
          <w:marRight w:val="0"/>
          <w:marTop w:val="0"/>
          <w:marBottom w:val="0"/>
          <w:divBdr>
            <w:top w:val="none" w:sz="0" w:space="0" w:color="auto"/>
            <w:left w:val="none" w:sz="0" w:space="0" w:color="auto"/>
            <w:bottom w:val="none" w:sz="0" w:space="0" w:color="auto"/>
            <w:right w:val="none" w:sz="0" w:space="0" w:color="auto"/>
          </w:divBdr>
        </w:div>
        <w:div w:id="30036127">
          <w:marLeft w:val="0"/>
          <w:marRight w:val="0"/>
          <w:marTop w:val="0"/>
          <w:marBottom w:val="0"/>
          <w:divBdr>
            <w:top w:val="none" w:sz="0" w:space="0" w:color="auto"/>
            <w:left w:val="none" w:sz="0" w:space="0" w:color="auto"/>
            <w:bottom w:val="none" w:sz="0" w:space="0" w:color="auto"/>
            <w:right w:val="none" w:sz="0" w:space="0" w:color="auto"/>
          </w:divBdr>
        </w:div>
        <w:div w:id="35158095">
          <w:marLeft w:val="0"/>
          <w:marRight w:val="0"/>
          <w:marTop w:val="0"/>
          <w:marBottom w:val="0"/>
          <w:divBdr>
            <w:top w:val="none" w:sz="0" w:space="0" w:color="auto"/>
            <w:left w:val="none" w:sz="0" w:space="0" w:color="auto"/>
            <w:bottom w:val="none" w:sz="0" w:space="0" w:color="auto"/>
            <w:right w:val="none" w:sz="0" w:space="0" w:color="auto"/>
          </w:divBdr>
        </w:div>
        <w:div w:id="42561962">
          <w:marLeft w:val="0"/>
          <w:marRight w:val="0"/>
          <w:marTop w:val="0"/>
          <w:marBottom w:val="0"/>
          <w:divBdr>
            <w:top w:val="none" w:sz="0" w:space="0" w:color="auto"/>
            <w:left w:val="none" w:sz="0" w:space="0" w:color="auto"/>
            <w:bottom w:val="none" w:sz="0" w:space="0" w:color="auto"/>
            <w:right w:val="none" w:sz="0" w:space="0" w:color="auto"/>
          </w:divBdr>
        </w:div>
        <w:div w:id="56905386">
          <w:marLeft w:val="0"/>
          <w:marRight w:val="0"/>
          <w:marTop w:val="0"/>
          <w:marBottom w:val="0"/>
          <w:divBdr>
            <w:top w:val="none" w:sz="0" w:space="0" w:color="auto"/>
            <w:left w:val="none" w:sz="0" w:space="0" w:color="auto"/>
            <w:bottom w:val="none" w:sz="0" w:space="0" w:color="auto"/>
            <w:right w:val="none" w:sz="0" w:space="0" w:color="auto"/>
          </w:divBdr>
        </w:div>
        <w:div w:id="60560994">
          <w:marLeft w:val="0"/>
          <w:marRight w:val="0"/>
          <w:marTop w:val="0"/>
          <w:marBottom w:val="0"/>
          <w:divBdr>
            <w:top w:val="none" w:sz="0" w:space="0" w:color="auto"/>
            <w:left w:val="none" w:sz="0" w:space="0" w:color="auto"/>
            <w:bottom w:val="none" w:sz="0" w:space="0" w:color="auto"/>
            <w:right w:val="none" w:sz="0" w:space="0" w:color="auto"/>
          </w:divBdr>
        </w:div>
        <w:div w:id="69815807">
          <w:marLeft w:val="0"/>
          <w:marRight w:val="0"/>
          <w:marTop w:val="0"/>
          <w:marBottom w:val="0"/>
          <w:divBdr>
            <w:top w:val="none" w:sz="0" w:space="0" w:color="auto"/>
            <w:left w:val="none" w:sz="0" w:space="0" w:color="auto"/>
            <w:bottom w:val="none" w:sz="0" w:space="0" w:color="auto"/>
            <w:right w:val="none" w:sz="0" w:space="0" w:color="auto"/>
          </w:divBdr>
        </w:div>
        <w:div w:id="74671236">
          <w:marLeft w:val="0"/>
          <w:marRight w:val="0"/>
          <w:marTop w:val="0"/>
          <w:marBottom w:val="0"/>
          <w:divBdr>
            <w:top w:val="none" w:sz="0" w:space="0" w:color="auto"/>
            <w:left w:val="none" w:sz="0" w:space="0" w:color="auto"/>
            <w:bottom w:val="none" w:sz="0" w:space="0" w:color="auto"/>
            <w:right w:val="none" w:sz="0" w:space="0" w:color="auto"/>
          </w:divBdr>
        </w:div>
        <w:div w:id="85271955">
          <w:marLeft w:val="0"/>
          <w:marRight w:val="0"/>
          <w:marTop w:val="0"/>
          <w:marBottom w:val="0"/>
          <w:divBdr>
            <w:top w:val="none" w:sz="0" w:space="0" w:color="auto"/>
            <w:left w:val="none" w:sz="0" w:space="0" w:color="auto"/>
            <w:bottom w:val="none" w:sz="0" w:space="0" w:color="auto"/>
            <w:right w:val="none" w:sz="0" w:space="0" w:color="auto"/>
          </w:divBdr>
        </w:div>
        <w:div w:id="95447194">
          <w:marLeft w:val="0"/>
          <w:marRight w:val="0"/>
          <w:marTop w:val="0"/>
          <w:marBottom w:val="0"/>
          <w:divBdr>
            <w:top w:val="none" w:sz="0" w:space="0" w:color="auto"/>
            <w:left w:val="none" w:sz="0" w:space="0" w:color="auto"/>
            <w:bottom w:val="none" w:sz="0" w:space="0" w:color="auto"/>
            <w:right w:val="none" w:sz="0" w:space="0" w:color="auto"/>
          </w:divBdr>
        </w:div>
        <w:div w:id="103772687">
          <w:marLeft w:val="0"/>
          <w:marRight w:val="0"/>
          <w:marTop w:val="0"/>
          <w:marBottom w:val="0"/>
          <w:divBdr>
            <w:top w:val="none" w:sz="0" w:space="0" w:color="auto"/>
            <w:left w:val="none" w:sz="0" w:space="0" w:color="auto"/>
            <w:bottom w:val="none" w:sz="0" w:space="0" w:color="auto"/>
            <w:right w:val="none" w:sz="0" w:space="0" w:color="auto"/>
          </w:divBdr>
        </w:div>
        <w:div w:id="105277486">
          <w:marLeft w:val="0"/>
          <w:marRight w:val="0"/>
          <w:marTop w:val="0"/>
          <w:marBottom w:val="0"/>
          <w:divBdr>
            <w:top w:val="none" w:sz="0" w:space="0" w:color="auto"/>
            <w:left w:val="none" w:sz="0" w:space="0" w:color="auto"/>
            <w:bottom w:val="none" w:sz="0" w:space="0" w:color="auto"/>
            <w:right w:val="none" w:sz="0" w:space="0" w:color="auto"/>
          </w:divBdr>
        </w:div>
        <w:div w:id="108625050">
          <w:marLeft w:val="0"/>
          <w:marRight w:val="0"/>
          <w:marTop w:val="0"/>
          <w:marBottom w:val="0"/>
          <w:divBdr>
            <w:top w:val="none" w:sz="0" w:space="0" w:color="auto"/>
            <w:left w:val="none" w:sz="0" w:space="0" w:color="auto"/>
            <w:bottom w:val="none" w:sz="0" w:space="0" w:color="auto"/>
            <w:right w:val="none" w:sz="0" w:space="0" w:color="auto"/>
          </w:divBdr>
        </w:div>
        <w:div w:id="113140039">
          <w:marLeft w:val="0"/>
          <w:marRight w:val="0"/>
          <w:marTop w:val="0"/>
          <w:marBottom w:val="0"/>
          <w:divBdr>
            <w:top w:val="none" w:sz="0" w:space="0" w:color="auto"/>
            <w:left w:val="none" w:sz="0" w:space="0" w:color="auto"/>
            <w:bottom w:val="none" w:sz="0" w:space="0" w:color="auto"/>
            <w:right w:val="none" w:sz="0" w:space="0" w:color="auto"/>
          </w:divBdr>
        </w:div>
        <w:div w:id="116487364">
          <w:marLeft w:val="0"/>
          <w:marRight w:val="0"/>
          <w:marTop w:val="0"/>
          <w:marBottom w:val="0"/>
          <w:divBdr>
            <w:top w:val="none" w:sz="0" w:space="0" w:color="auto"/>
            <w:left w:val="none" w:sz="0" w:space="0" w:color="auto"/>
            <w:bottom w:val="none" w:sz="0" w:space="0" w:color="auto"/>
            <w:right w:val="none" w:sz="0" w:space="0" w:color="auto"/>
          </w:divBdr>
        </w:div>
        <w:div w:id="126095868">
          <w:marLeft w:val="0"/>
          <w:marRight w:val="0"/>
          <w:marTop w:val="0"/>
          <w:marBottom w:val="0"/>
          <w:divBdr>
            <w:top w:val="none" w:sz="0" w:space="0" w:color="auto"/>
            <w:left w:val="none" w:sz="0" w:space="0" w:color="auto"/>
            <w:bottom w:val="none" w:sz="0" w:space="0" w:color="auto"/>
            <w:right w:val="none" w:sz="0" w:space="0" w:color="auto"/>
          </w:divBdr>
        </w:div>
        <w:div w:id="132793768">
          <w:marLeft w:val="0"/>
          <w:marRight w:val="0"/>
          <w:marTop w:val="0"/>
          <w:marBottom w:val="0"/>
          <w:divBdr>
            <w:top w:val="none" w:sz="0" w:space="0" w:color="auto"/>
            <w:left w:val="none" w:sz="0" w:space="0" w:color="auto"/>
            <w:bottom w:val="none" w:sz="0" w:space="0" w:color="auto"/>
            <w:right w:val="none" w:sz="0" w:space="0" w:color="auto"/>
          </w:divBdr>
        </w:div>
        <w:div w:id="132985703">
          <w:marLeft w:val="0"/>
          <w:marRight w:val="0"/>
          <w:marTop w:val="0"/>
          <w:marBottom w:val="0"/>
          <w:divBdr>
            <w:top w:val="none" w:sz="0" w:space="0" w:color="auto"/>
            <w:left w:val="none" w:sz="0" w:space="0" w:color="auto"/>
            <w:bottom w:val="none" w:sz="0" w:space="0" w:color="auto"/>
            <w:right w:val="none" w:sz="0" w:space="0" w:color="auto"/>
          </w:divBdr>
        </w:div>
        <w:div w:id="139074702">
          <w:marLeft w:val="0"/>
          <w:marRight w:val="0"/>
          <w:marTop w:val="0"/>
          <w:marBottom w:val="0"/>
          <w:divBdr>
            <w:top w:val="none" w:sz="0" w:space="0" w:color="auto"/>
            <w:left w:val="none" w:sz="0" w:space="0" w:color="auto"/>
            <w:bottom w:val="none" w:sz="0" w:space="0" w:color="auto"/>
            <w:right w:val="none" w:sz="0" w:space="0" w:color="auto"/>
          </w:divBdr>
        </w:div>
        <w:div w:id="162163236">
          <w:marLeft w:val="0"/>
          <w:marRight w:val="0"/>
          <w:marTop w:val="0"/>
          <w:marBottom w:val="0"/>
          <w:divBdr>
            <w:top w:val="none" w:sz="0" w:space="0" w:color="auto"/>
            <w:left w:val="none" w:sz="0" w:space="0" w:color="auto"/>
            <w:bottom w:val="none" w:sz="0" w:space="0" w:color="auto"/>
            <w:right w:val="none" w:sz="0" w:space="0" w:color="auto"/>
          </w:divBdr>
        </w:div>
        <w:div w:id="189731155">
          <w:marLeft w:val="0"/>
          <w:marRight w:val="0"/>
          <w:marTop w:val="0"/>
          <w:marBottom w:val="0"/>
          <w:divBdr>
            <w:top w:val="none" w:sz="0" w:space="0" w:color="auto"/>
            <w:left w:val="none" w:sz="0" w:space="0" w:color="auto"/>
            <w:bottom w:val="none" w:sz="0" w:space="0" w:color="auto"/>
            <w:right w:val="none" w:sz="0" w:space="0" w:color="auto"/>
          </w:divBdr>
        </w:div>
        <w:div w:id="201359050">
          <w:marLeft w:val="0"/>
          <w:marRight w:val="0"/>
          <w:marTop w:val="0"/>
          <w:marBottom w:val="0"/>
          <w:divBdr>
            <w:top w:val="none" w:sz="0" w:space="0" w:color="auto"/>
            <w:left w:val="none" w:sz="0" w:space="0" w:color="auto"/>
            <w:bottom w:val="none" w:sz="0" w:space="0" w:color="auto"/>
            <w:right w:val="none" w:sz="0" w:space="0" w:color="auto"/>
          </w:divBdr>
        </w:div>
        <w:div w:id="202521925">
          <w:marLeft w:val="0"/>
          <w:marRight w:val="0"/>
          <w:marTop w:val="0"/>
          <w:marBottom w:val="0"/>
          <w:divBdr>
            <w:top w:val="none" w:sz="0" w:space="0" w:color="auto"/>
            <w:left w:val="none" w:sz="0" w:space="0" w:color="auto"/>
            <w:bottom w:val="none" w:sz="0" w:space="0" w:color="auto"/>
            <w:right w:val="none" w:sz="0" w:space="0" w:color="auto"/>
          </w:divBdr>
        </w:div>
        <w:div w:id="209657513">
          <w:marLeft w:val="0"/>
          <w:marRight w:val="0"/>
          <w:marTop w:val="0"/>
          <w:marBottom w:val="0"/>
          <w:divBdr>
            <w:top w:val="none" w:sz="0" w:space="0" w:color="auto"/>
            <w:left w:val="none" w:sz="0" w:space="0" w:color="auto"/>
            <w:bottom w:val="none" w:sz="0" w:space="0" w:color="auto"/>
            <w:right w:val="none" w:sz="0" w:space="0" w:color="auto"/>
          </w:divBdr>
        </w:div>
        <w:div w:id="217403659">
          <w:marLeft w:val="0"/>
          <w:marRight w:val="0"/>
          <w:marTop w:val="0"/>
          <w:marBottom w:val="0"/>
          <w:divBdr>
            <w:top w:val="none" w:sz="0" w:space="0" w:color="auto"/>
            <w:left w:val="none" w:sz="0" w:space="0" w:color="auto"/>
            <w:bottom w:val="none" w:sz="0" w:space="0" w:color="auto"/>
            <w:right w:val="none" w:sz="0" w:space="0" w:color="auto"/>
          </w:divBdr>
        </w:div>
        <w:div w:id="221066164">
          <w:marLeft w:val="0"/>
          <w:marRight w:val="0"/>
          <w:marTop w:val="0"/>
          <w:marBottom w:val="0"/>
          <w:divBdr>
            <w:top w:val="none" w:sz="0" w:space="0" w:color="auto"/>
            <w:left w:val="none" w:sz="0" w:space="0" w:color="auto"/>
            <w:bottom w:val="none" w:sz="0" w:space="0" w:color="auto"/>
            <w:right w:val="none" w:sz="0" w:space="0" w:color="auto"/>
          </w:divBdr>
        </w:div>
        <w:div w:id="224881267">
          <w:marLeft w:val="0"/>
          <w:marRight w:val="0"/>
          <w:marTop w:val="0"/>
          <w:marBottom w:val="0"/>
          <w:divBdr>
            <w:top w:val="none" w:sz="0" w:space="0" w:color="auto"/>
            <w:left w:val="none" w:sz="0" w:space="0" w:color="auto"/>
            <w:bottom w:val="none" w:sz="0" w:space="0" w:color="auto"/>
            <w:right w:val="none" w:sz="0" w:space="0" w:color="auto"/>
          </w:divBdr>
        </w:div>
        <w:div w:id="231163758">
          <w:marLeft w:val="0"/>
          <w:marRight w:val="0"/>
          <w:marTop w:val="0"/>
          <w:marBottom w:val="0"/>
          <w:divBdr>
            <w:top w:val="none" w:sz="0" w:space="0" w:color="auto"/>
            <w:left w:val="none" w:sz="0" w:space="0" w:color="auto"/>
            <w:bottom w:val="none" w:sz="0" w:space="0" w:color="auto"/>
            <w:right w:val="none" w:sz="0" w:space="0" w:color="auto"/>
          </w:divBdr>
        </w:div>
        <w:div w:id="253787614">
          <w:marLeft w:val="0"/>
          <w:marRight w:val="0"/>
          <w:marTop w:val="0"/>
          <w:marBottom w:val="0"/>
          <w:divBdr>
            <w:top w:val="none" w:sz="0" w:space="0" w:color="auto"/>
            <w:left w:val="none" w:sz="0" w:space="0" w:color="auto"/>
            <w:bottom w:val="none" w:sz="0" w:space="0" w:color="auto"/>
            <w:right w:val="none" w:sz="0" w:space="0" w:color="auto"/>
          </w:divBdr>
        </w:div>
        <w:div w:id="254557526">
          <w:marLeft w:val="0"/>
          <w:marRight w:val="0"/>
          <w:marTop w:val="0"/>
          <w:marBottom w:val="0"/>
          <w:divBdr>
            <w:top w:val="none" w:sz="0" w:space="0" w:color="auto"/>
            <w:left w:val="none" w:sz="0" w:space="0" w:color="auto"/>
            <w:bottom w:val="none" w:sz="0" w:space="0" w:color="auto"/>
            <w:right w:val="none" w:sz="0" w:space="0" w:color="auto"/>
          </w:divBdr>
        </w:div>
        <w:div w:id="264508587">
          <w:marLeft w:val="0"/>
          <w:marRight w:val="0"/>
          <w:marTop w:val="0"/>
          <w:marBottom w:val="0"/>
          <w:divBdr>
            <w:top w:val="none" w:sz="0" w:space="0" w:color="auto"/>
            <w:left w:val="none" w:sz="0" w:space="0" w:color="auto"/>
            <w:bottom w:val="none" w:sz="0" w:space="0" w:color="auto"/>
            <w:right w:val="none" w:sz="0" w:space="0" w:color="auto"/>
          </w:divBdr>
        </w:div>
        <w:div w:id="278994816">
          <w:marLeft w:val="0"/>
          <w:marRight w:val="0"/>
          <w:marTop w:val="0"/>
          <w:marBottom w:val="0"/>
          <w:divBdr>
            <w:top w:val="none" w:sz="0" w:space="0" w:color="auto"/>
            <w:left w:val="none" w:sz="0" w:space="0" w:color="auto"/>
            <w:bottom w:val="none" w:sz="0" w:space="0" w:color="auto"/>
            <w:right w:val="none" w:sz="0" w:space="0" w:color="auto"/>
          </w:divBdr>
        </w:div>
        <w:div w:id="287245555">
          <w:marLeft w:val="0"/>
          <w:marRight w:val="0"/>
          <w:marTop w:val="0"/>
          <w:marBottom w:val="0"/>
          <w:divBdr>
            <w:top w:val="none" w:sz="0" w:space="0" w:color="auto"/>
            <w:left w:val="none" w:sz="0" w:space="0" w:color="auto"/>
            <w:bottom w:val="none" w:sz="0" w:space="0" w:color="auto"/>
            <w:right w:val="none" w:sz="0" w:space="0" w:color="auto"/>
          </w:divBdr>
        </w:div>
        <w:div w:id="289046165">
          <w:marLeft w:val="0"/>
          <w:marRight w:val="0"/>
          <w:marTop w:val="0"/>
          <w:marBottom w:val="0"/>
          <w:divBdr>
            <w:top w:val="none" w:sz="0" w:space="0" w:color="auto"/>
            <w:left w:val="none" w:sz="0" w:space="0" w:color="auto"/>
            <w:bottom w:val="none" w:sz="0" w:space="0" w:color="auto"/>
            <w:right w:val="none" w:sz="0" w:space="0" w:color="auto"/>
          </w:divBdr>
        </w:div>
        <w:div w:id="293143406">
          <w:marLeft w:val="0"/>
          <w:marRight w:val="0"/>
          <w:marTop w:val="0"/>
          <w:marBottom w:val="0"/>
          <w:divBdr>
            <w:top w:val="none" w:sz="0" w:space="0" w:color="auto"/>
            <w:left w:val="none" w:sz="0" w:space="0" w:color="auto"/>
            <w:bottom w:val="none" w:sz="0" w:space="0" w:color="auto"/>
            <w:right w:val="none" w:sz="0" w:space="0" w:color="auto"/>
          </w:divBdr>
        </w:div>
        <w:div w:id="299382352">
          <w:marLeft w:val="0"/>
          <w:marRight w:val="0"/>
          <w:marTop w:val="0"/>
          <w:marBottom w:val="0"/>
          <w:divBdr>
            <w:top w:val="none" w:sz="0" w:space="0" w:color="auto"/>
            <w:left w:val="none" w:sz="0" w:space="0" w:color="auto"/>
            <w:bottom w:val="none" w:sz="0" w:space="0" w:color="auto"/>
            <w:right w:val="none" w:sz="0" w:space="0" w:color="auto"/>
          </w:divBdr>
        </w:div>
        <w:div w:id="309746488">
          <w:marLeft w:val="0"/>
          <w:marRight w:val="0"/>
          <w:marTop w:val="0"/>
          <w:marBottom w:val="0"/>
          <w:divBdr>
            <w:top w:val="none" w:sz="0" w:space="0" w:color="auto"/>
            <w:left w:val="none" w:sz="0" w:space="0" w:color="auto"/>
            <w:bottom w:val="none" w:sz="0" w:space="0" w:color="auto"/>
            <w:right w:val="none" w:sz="0" w:space="0" w:color="auto"/>
          </w:divBdr>
        </w:div>
        <w:div w:id="327054331">
          <w:marLeft w:val="0"/>
          <w:marRight w:val="0"/>
          <w:marTop w:val="0"/>
          <w:marBottom w:val="0"/>
          <w:divBdr>
            <w:top w:val="none" w:sz="0" w:space="0" w:color="auto"/>
            <w:left w:val="none" w:sz="0" w:space="0" w:color="auto"/>
            <w:bottom w:val="none" w:sz="0" w:space="0" w:color="auto"/>
            <w:right w:val="none" w:sz="0" w:space="0" w:color="auto"/>
          </w:divBdr>
        </w:div>
        <w:div w:id="335424568">
          <w:marLeft w:val="0"/>
          <w:marRight w:val="0"/>
          <w:marTop w:val="0"/>
          <w:marBottom w:val="0"/>
          <w:divBdr>
            <w:top w:val="none" w:sz="0" w:space="0" w:color="auto"/>
            <w:left w:val="none" w:sz="0" w:space="0" w:color="auto"/>
            <w:bottom w:val="none" w:sz="0" w:space="0" w:color="auto"/>
            <w:right w:val="none" w:sz="0" w:space="0" w:color="auto"/>
          </w:divBdr>
        </w:div>
        <w:div w:id="350382006">
          <w:marLeft w:val="0"/>
          <w:marRight w:val="0"/>
          <w:marTop w:val="0"/>
          <w:marBottom w:val="0"/>
          <w:divBdr>
            <w:top w:val="none" w:sz="0" w:space="0" w:color="auto"/>
            <w:left w:val="none" w:sz="0" w:space="0" w:color="auto"/>
            <w:bottom w:val="none" w:sz="0" w:space="0" w:color="auto"/>
            <w:right w:val="none" w:sz="0" w:space="0" w:color="auto"/>
          </w:divBdr>
        </w:div>
        <w:div w:id="364714064">
          <w:marLeft w:val="0"/>
          <w:marRight w:val="0"/>
          <w:marTop w:val="0"/>
          <w:marBottom w:val="0"/>
          <w:divBdr>
            <w:top w:val="none" w:sz="0" w:space="0" w:color="auto"/>
            <w:left w:val="none" w:sz="0" w:space="0" w:color="auto"/>
            <w:bottom w:val="none" w:sz="0" w:space="0" w:color="auto"/>
            <w:right w:val="none" w:sz="0" w:space="0" w:color="auto"/>
          </w:divBdr>
        </w:div>
        <w:div w:id="369961004">
          <w:marLeft w:val="0"/>
          <w:marRight w:val="0"/>
          <w:marTop w:val="0"/>
          <w:marBottom w:val="0"/>
          <w:divBdr>
            <w:top w:val="none" w:sz="0" w:space="0" w:color="auto"/>
            <w:left w:val="none" w:sz="0" w:space="0" w:color="auto"/>
            <w:bottom w:val="none" w:sz="0" w:space="0" w:color="auto"/>
            <w:right w:val="none" w:sz="0" w:space="0" w:color="auto"/>
          </w:divBdr>
        </w:div>
        <w:div w:id="394663948">
          <w:marLeft w:val="0"/>
          <w:marRight w:val="0"/>
          <w:marTop w:val="0"/>
          <w:marBottom w:val="0"/>
          <w:divBdr>
            <w:top w:val="none" w:sz="0" w:space="0" w:color="auto"/>
            <w:left w:val="none" w:sz="0" w:space="0" w:color="auto"/>
            <w:bottom w:val="none" w:sz="0" w:space="0" w:color="auto"/>
            <w:right w:val="none" w:sz="0" w:space="0" w:color="auto"/>
          </w:divBdr>
        </w:div>
        <w:div w:id="409355828">
          <w:marLeft w:val="0"/>
          <w:marRight w:val="0"/>
          <w:marTop w:val="0"/>
          <w:marBottom w:val="0"/>
          <w:divBdr>
            <w:top w:val="none" w:sz="0" w:space="0" w:color="auto"/>
            <w:left w:val="none" w:sz="0" w:space="0" w:color="auto"/>
            <w:bottom w:val="none" w:sz="0" w:space="0" w:color="auto"/>
            <w:right w:val="none" w:sz="0" w:space="0" w:color="auto"/>
          </w:divBdr>
        </w:div>
        <w:div w:id="410198235">
          <w:marLeft w:val="0"/>
          <w:marRight w:val="0"/>
          <w:marTop w:val="0"/>
          <w:marBottom w:val="0"/>
          <w:divBdr>
            <w:top w:val="none" w:sz="0" w:space="0" w:color="auto"/>
            <w:left w:val="none" w:sz="0" w:space="0" w:color="auto"/>
            <w:bottom w:val="none" w:sz="0" w:space="0" w:color="auto"/>
            <w:right w:val="none" w:sz="0" w:space="0" w:color="auto"/>
          </w:divBdr>
        </w:div>
        <w:div w:id="414088182">
          <w:marLeft w:val="0"/>
          <w:marRight w:val="0"/>
          <w:marTop w:val="0"/>
          <w:marBottom w:val="0"/>
          <w:divBdr>
            <w:top w:val="none" w:sz="0" w:space="0" w:color="auto"/>
            <w:left w:val="none" w:sz="0" w:space="0" w:color="auto"/>
            <w:bottom w:val="none" w:sz="0" w:space="0" w:color="auto"/>
            <w:right w:val="none" w:sz="0" w:space="0" w:color="auto"/>
          </w:divBdr>
        </w:div>
        <w:div w:id="415326485">
          <w:marLeft w:val="0"/>
          <w:marRight w:val="0"/>
          <w:marTop w:val="0"/>
          <w:marBottom w:val="0"/>
          <w:divBdr>
            <w:top w:val="none" w:sz="0" w:space="0" w:color="auto"/>
            <w:left w:val="none" w:sz="0" w:space="0" w:color="auto"/>
            <w:bottom w:val="none" w:sz="0" w:space="0" w:color="auto"/>
            <w:right w:val="none" w:sz="0" w:space="0" w:color="auto"/>
          </w:divBdr>
        </w:div>
        <w:div w:id="418868949">
          <w:marLeft w:val="0"/>
          <w:marRight w:val="0"/>
          <w:marTop w:val="0"/>
          <w:marBottom w:val="0"/>
          <w:divBdr>
            <w:top w:val="none" w:sz="0" w:space="0" w:color="auto"/>
            <w:left w:val="none" w:sz="0" w:space="0" w:color="auto"/>
            <w:bottom w:val="none" w:sz="0" w:space="0" w:color="auto"/>
            <w:right w:val="none" w:sz="0" w:space="0" w:color="auto"/>
          </w:divBdr>
        </w:div>
        <w:div w:id="423501167">
          <w:marLeft w:val="0"/>
          <w:marRight w:val="0"/>
          <w:marTop w:val="0"/>
          <w:marBottom w:val="0"/>
          <w:divBdr>
            <w:top w:val="none" w:sz="0" w:space="0" w:color="auto"/>
            <w:left w:val="none" w:sz="0" w:space="0" w:color="auto"/>
            <w:bottom w:val="none" w:sz="0" w:space="0" w:color="auto"/>
            <w:right w:val="none" w:sz="0" w:space="0" w:color="auto"/>
          </w:divBdr>
        </w:div>
        <w:div w:id="431054341">
          <w:marLeft w:val="0"/>
          <w:marRight w:val="0"/>
          <w:marTop w:val="0"/>
          <w:marBottom w:val="0"/>
          <w:divBdr>
            <w:top w:val="none" w:sz="0" w:space="0" w:color="auto"/>
            <w:left w:val="none" w:sz="0" w:space="0" w:color="auto"/>
            <w:bottom w:val="none" w:sz="0" w:space="0" w:color="auto"/>
            <w:right w:val="none" w:sz="0" w:space="0" w:color="auto"/>
          </w:divBdr>
        </w:div>
        <w:div w:id="435751672">
          <w:marLeft w:val="0"/>
          <w:marRight w:val="0"/>
          <w:marTop w:val="0"/>
          <w:marBottom w:val="0"/>
          <w:divBdr>
            <w:top w:val="none" w:sz="0" w:space="0" w:color="auto"/>
            <w:left w:val="none" w:sz="0" w:space="0" w:color="auto"/>
            <w:bottom w:val="none" w:sz="0" w:space="0" w:color="auto"/>
            <w:right w:val="none" w:sz="0" w:space="0" w:color="auto"/>
          </w:divBdr>
        </w:div>
        <w:div w:id="443308340">
          <w:marLeft w:val="0"/>
          <w:marRight w:val="0"/>
          <w:marTop w:val="0"/>
          <w:marBottom w:val="0"/>
          <w:divBdr>
            <w:top w:val="none" w:sz="0" w:space="0" w:color="auto"/>
            <w:left w:val="none" w:sz="0" w:space="0" w:color="auto"/>
            <w:bottom w:val="none" w:sz="0" w:space="0" w:color="auto"/>
            <w:right w:val="none" w:sz="0" w:space="0" w:color="auto"/>
          </w:divBdr>
        </w:div>
        <w:div w:id="459422733">
          <w:marLeft w:val="0"/>
          <w:marRight w:val="0"/>
          <w:marTop w:val="0"/>
          <w:marBottom w:val="0"/>
          <w:divBdr>
            <w:top w:val="none" w:sz="0" w:space="0" w:color="auto"/>
            <w:left w:val="none" w:sz="0" w:space="0" w:color="auto"/>
            <w:bottom w:val="none" w:sz="0" w:space="0" w:color="auto"/>
            <w:right w:val="none" w:sz="0" w:space="0" w:color="auto"/>
          </w:divBdr>
        </w:div>
        <w:div w:id="461928455">
          <w:marLeft w:val="0"/>
          <w:marRight w:val="0"/>
          <w:marTop w:val="0"/>
          <w:marBottom w:val="0"/>
          <w:divBdr>
            <w:top w:val="none" w:sz="0" w:space="0" w:color="auto"/>
            <w:left w:val="none" w:sz="0" w:space="0" w:color="auto"/>
            <w:bottom w:val="none" w:sz="0" w:space="0" w:color="auto"/>
            <w:right w:val="none" w:sz="0" w:space="0" w:color="auto"/>
          </w:divBdr>
        </w:div>
        <w:div w:id="477571601">
          <w:marLeft w:val="0"/>
          <w:marRight w:val="0"/>
          <w:marTop w:val="0"/>
          <w:marBottom w:val="0"/>
          <w:divBdr>
            <w:top w:val="none" w:sz="0" w:space="0" w:color="auto"/>
            <w:left w:val="none" w:sz="0" w:space="0" w:color="auto"/>
            <w:bottom w:val="none" w:sz="0" w:space="0" w:color="auto"/>
            <w:right w:val="none" w:sz="0" w:space="0" w:color="auto"/>
          </w:divBdr>
        </w:div>
        <w:div w:id="541207429">
          <w:marLeft w:val="0"/>
          <w:marRight w:val="0"/>
          <w:marTop w:val="0"/>
          <w:marBottom w:val="0"/>
          <w:divBdr>
            <w:top w:val="none" w:sz="0" w:space="0" w:color="auto"/>
            <w:left w:val="none" w:sz="0" w:space="0" w:color="auto"/>
            <w:bottom w:val="none" w:sz="0" w:space="0" w:color="auto"/>
            <w:right w:val="none" w:sz="0" w:space="0" w:color="auto"/>
          </w:divBdr>
        </w:div>
        <w:div w:id="551306137">
          <w:marLeft w:val="0"/>
          <w:marRight w:val="0"/>
          <w:marTop w:val="0"/>
          <w:marBottom w:val="0"/>
          <w:divBdr>
            <w:top w:val="none" w:sz="0" w:space="0" w:color="auto"/>
            <w:left w:val="none" w:sz="0" w:space="0" w:color="auto"/>
            <w:bottom w:val="none" w:sz="0" w:space="0" w:color="auto"/>
            <w:right w:val="none" w:sz="0" w:space="0" w:color="auto"/>
          </w:divBdr>
        </w:div>
        <w:div w:id="557084806">
          <w:marLeft w:val="0"/>
          <w:marRight w:val="0"/>
          <w:marTop w:val="0"/>
          <w:marBottom w:val="0"/>
          <w:divBdr>
            <w:top w:val="none" w:sz="0" w:space="0" w:color="auto"/>
            <w:left w:val="none" w:sz="0" w:space="0" w:color="auto"/>
            <w:bottom w:val="none" w:sz="0" w:space="0" w:color="auto"/>
            <w:right w:val="none" w:sz="0" w:space="0" w:color="auto"/>
          </w:divBdr>
        </w:div>
        <w:div w:id="581984823">
          <w:marLeft w:val="0"/>
          <w:marRight w:val="0"/>
          <w:marTop w:val="0"/>
          <w:marBottom w:val="0"/>
          <w:divBdr>
            <w:top w:val="none" w:sz="0" w:space="0" w:color="auto"/>
            <w:left w:val="none" w:sz="0" w:space="0" w:color="auto"/>
            <w:bottom w:val="none" w:sz="0" w:space="0" w:color="auto"/>
            <w:right w:val="none" w:sz="0" w:space="0" w:color="auto"/>
          </w:divBdr>
        </w:div>
        <w:div w:id="583611854">
          <w:marLeft w:val="0"/>
          <w:marRight w:val="0"/>
          <w:marTop w:val="0"/>
          <w:marBottom w:val="0"/>
          <w:divBdr>
            <w:top w:val="none" w:sz="0" w:space="0" w:color="auto"/>
            <w:left w:val="none" w:sz="0" w:space="0" w:color="auto"/>
            <w:bottom w:val="none" w:sz="0" w:space="0" w:color="auto"/>
            <w:right w:val="none" w:sz="0" w:space="0" w:color="auto"/>
          </w:divBdr>
        </w:div>
        <w:div w:id="583613885">
          <w:marLeft w:val="0"/>
          <w:marRight w:val="0"/>
          <w:marTop w:val="0"/>
          <w:marBottom w:val="0"/>
          <w:divBdr>
            <w:top w:val="none" w:sz="0" w:space="0" w:color="auto"/>
            <w:left w:val="none" w:sz="0" w:space="0" w:color="auto"/>
            <w:bottom w:val="none" w:sz="0" w:space="0" w:color="auto"/>
            <w:right w:val="none" w:sz="0" w:space="0" w:color="auto"/>
          </w:divBdr>
        </w:div>
        <w:div w:id="607660944">
          <w:marLeft w:val="0"/>
          <w:marRight w:val="0"/>
          <w:marTop w:val="0"/>
          <w:marBottom w:val="0"/>
          <w:divBdr>
            <w:top w:val="none" w:sz="0" w:space="0" w:color="auto"/>
            <w:left w:val="none" w:sz="0" w:space="0" w:color="auto"/>
            <w:bottom w:val="none" w:sz="0" w:space="0" w:color="auto"/>
            <w:right w:val="none" w:sz="0" w:space="0" w:color="auto"/>
          </w:divBdr>
        </w:div>
        <w:div w:id="609749398">
          <w:marLeft w:val="0"/>
          <w:marRight w:val="0"/>
          <w:marTop w:val="0"/>
          <w:marBottom w:val="0"/>
          <w:divBdr>
            <w:top w:val="none" w:sz="0" w:space="0" w:color="auto"/>
            <w:left w:val="none" w:sz="0" w:space="0" w:color="auto"/>
            <w:bottom w:val="none" w:sz="0" w:space="0" w:color="auto"/>
            <w:right w:val="none" w:sz="0" w:space="0" w:color="auto"/>
          </w:divBdr>
        </w:div>
        <w:div w:id="617377029">
          <w:marLeft w:val="0"/>
          <w:marRight w:val="0"/>
          <w:marTop w:val="0"/>
          <w:marBottom w:val="0"/>
          <w:divBdr>
            <w:top w:val="none" w:sz="0" w:space="0" w:color="auto"/>
            <w:left w:val="none" w:sz="0" w:space="0" w:color="auto"/>
            <w:bottom w:val="none" w:sz="0" w:space="0" w:color="auto"/>
            <w:right w:val="none" w:sz="0" w:space="0" w:color="auto"/>
          </w:divBdr>
        </w:div>
        <w:div w:id="632172034">
          <w:marLeft w:val="0"/>
          <w:marRight w:val="0"/>
          <w:marTop w:val="0"/>
          <w:marBottom w:val="0"/>
          <w:divBdr>
            <w:top w:val="none" w:sz="0" w:space="0" w:color="auto"/>
            <w:left w:val="none" w:sz="0" w:space="0" w:color="auto"/>
            <w:bottom w:val="none" w:sz="0" w:space="0" w:color="auto"/>
            <w:right w:val="none" w:sz="0" w:space="0" w:color="auto"/>
          </w:divBdr>
        </w:div>
        <w:div w:id="636104798">
          <w:marLeft w:val="0"/>
          <w:marRight w:val="0"/>
          <w:marTop w:val="0"/>
          <w:marBottom w:val="0"/>
          <w:divBdr>
            <w:top w:val="none" w:sz="0" w:space="0" w:color="auto"/>
            <w:left w:val="none" w:sz="0" w:space="0" w:color="auto"/>
            <w:bottom w:val="none" w:sz="0" w:space="0" w:color="auto"/>
            <w:right w:val="none" w:sz="0" w:space="0" w:color="auto"/>
          </w:divBdr>
        </w:div>
        <w:div w:id="638921417">
          <w:marLeft w:val="0"/>
          <w:marRight w:val="0"/>
          <w:marTop w:val="0"/>
          <w:marBottom w:val="0"/>
          <w:divBdr>
            <w:top w:val="none" w:sz="0" w:space="0" w:color="auto"/>
            <w:left w:val="none" w:sz="0" w:space="0" w:color="auto"/>
            <w:bottom w:val="none" w:sz="0" w:space="0" w:color="auto"/>
            <w:right w:val="none" w:sz="0" w:space="0" w:color="auto"/>
          </w:divBdr>
        </w:div>
        <w:div w:id="639457079">
          <w:marLeft w:val="0"/>
          <w:marRight w:val="0"/>
          <w:marTop w:val="0"/>
          <w:marBottom w:val="0"/>
          <w:divBdr>
            <w:top w:val="none" w:sz="0" w:space="0" w:color="auto"/>
            <w:left w:val="none" w:sz="0" w:space="0" w:color="auto"/>
            <w:bottom w:val="none" w:sz="0" w:space="0" w:color="auto"/>
            <w:right w:val="none" w:sz="0" w:space="0" w:color="auto"/>
          </w:divBdr>
        </w:div>
        <w:div w:id="649289326">
          <w:marLeft w:val="0"/>
          <w:marRight w:val="0"/>
          <w:marTop w:val="0"/>
          <w:marBottom w:val="0"/>
          <w:divBdr>
            <w:top w:val="none" w:sz="0" w:space="0" w:color="auto"/>
            <w:left w:val="none" w:sz="0" w:space="0" w:color="auto"/>
            <w:bottom w:val="none" w:sz="0" w:space="0" w:color="auto"/>
            <w:right w:val="none" w:sz="0" w:space="0" w:color="auto"/>
          </w:divBdr>
        </w:div>
        <w:div w:id="654648544">
          <w:marLeft w:val="0"/>
          <w:marRight w:val="0"/>
          <w:marTop w:val="0"/>
          <w:marBottom w:val="0"/>
          <w:divBdr>
            <w:top w:val="none" w:sz="0" w:space="0" w:color="auto"/>
            <w:left w:val="none" w:sz="0" w:space="0" w:color="auto"/>
            <w:bottom w:val="none" w:sz="0" w:space="0" w:color="auto"/>
            <w:right w:val="none" w:sz="0" w:space="0" w:color="auto"/>
          </w:divBdr>
        </w:div>
        <w:div w:id="660041905">
          <w:marLeft w:val="0"/>
          <w:marRight w:val="0"/>
          <w:marTop w:val="0"/>
          <w:marBottom w:val="0"/>
          <w:divBdr>
            <w:top w:val="none" w:sz="0" w:space="0" w:color="auto"/>
            <w:left w:val="none" w:sz="0" w:space="0" w:color="auto"/>
            <w:bottom w:val="none" w:sz="0" w:space="0" w:color="auto"/>
            <w:right w:val="none" w:sz="0" w:space="0" w:color="auto"/>
          </w:divBdr>
        </w:div>
        <w:div w:id="683439571">
          <w:marLeft w:val="0"/>
          <w:marRight w:val="0"/>
          <w:marTop w:val="0"/>
          <w:marBottom w:val="0"/>
          <w:divBdr>
            <w:top w:val="none" w:sz="0" w:space="0" w:color="auto"/>
            <w:left w:val="none" w:sz="0" w:space="0" w:color="auto"/>
            <w:bottom w:val="none" w:sz="0" w:space="0" w:color="auto"/>
            <w:right w:val="none" w:sz="0" w:space="0" w:color="auto"/>
          </w:divBdr>
        </w:div>
        <w:div w:id="684524872">
          <w:marLeft w:val="0"/>
          <w:marRight w:val="0"/>
          <w:marTop w:val="0"/>
          <w:marBottom w:val="0"/>
          <w:divBdr>
            <w:top w:val="none" w:sz="0" w:space="0" w:color="auto"/>
            <w:left w:val="none" w:sz="0" w:space="0" w:color="auto"/>
            <w:bottom w:val="none" w:sz="0" w:space="0" w:color="auto"/>
            <w:right w:val="none" w:sz="0" w:space="0" w:color="auto"/>
          </w:divBdr>
        </w:div>
        <w:div w:id="698164748">
          <w:marLeft w:val="0"/>
          <w:marRight w:val="0"/>
          <w:marTop w:val="0"/>
          <w:marBottom w:val="0"/>
          <w:divBdr>
            <w:top w:val="none" w:sz="0" w:space="0" w:color="auto"/>
            <w:left w:val="none" w:sz="0" w:space="0" w:color="auto"/>
            <w:bottom w:val="none" w:sz="0" w:space="0" w:color="auto"/>
            <w:right w:val="none" w:sz="0" w:space="0" w:color="auto"/>
          </w:divBdr>
        </w:div>
        <w:div w:id="711810772">
          <w:marLeft w:val="0"/>
          <w:marRight w:val="0"/>
          <w:marTop w:val="0"/>
          <w:marBottom w:val="0"/>
          <w:divBdr>
            <w:top w:val="none" w:sz="0" w:space="0" w:color="auto"/>
            <w:left w:val="none" w:sz="0" w:space="0" w:color="auto"/>
            <w:bottom w:val="none" w:sz="0" w:space="0" w:color="auto"/>
            <w:right w:val="none" w:sz="0" w:space="0" w:color="auto"/>
          </w:divBdr>
        </w:div>
        <w:div w:id="724377295">
          <w:marLeft w:val="0"/>
          <w:marRight w:val="0"/>
          <w:marTop w:val="0"/>
          <w:marBottom w:val="0"/>
          <w:divBdr>
            <w:top w:val="none" w:sz="0" w:space="0" w:color="auto"/>
            <w:left w:val="none" w:sz="0" w:space="0" w:color="auto"/>
            <w:bottom w:val="none" w:sz="0" w:space="0" w:color="auto"/>
            <w:right w:val="none" w:sz="0" w:space="0" w:color="auto"/>
          </w:divBdr>
        </w:div>
        <w:div w:id="726295727">
          <w:marLeft w:val="0"/>
          <w:marRight w:val="0"/>
          <w:marTop w:val="0"/>
          <w:marBottom w:val="0"/>
          <w:divBdr>
            <w:top w:val="none" w:sz="0" w:space="0" w:color="auto"/>
            <w:left w:val="none" w:sz="0" w:space="0" w:color="auto"/>
            <w:bottom w:val="none" w:sz="0" w:space="0" w:color="auto"/>
            <w:right w:val="none" w:sz="0" w:space="0" w:color="auto"/>
          </w:divBdr>
        </w:div>
        <w:div w:id="738937503">
          <w:marLeft w:val="0"/>
          <w:marRight w:val="0"/>
          <w:marTop w:val="0"/>
          <w:marBottom w:val="0"/>
          <w:divBdr>
            <w:top w:val="none" w:sz="0" w:space="0" w:color="auto"/>
            <w:left w:val="none" w:sz="0" w:space="0" w:color="auto"/>
            <w:bottom w:val="none" w:sz="0" w:space="0" w:color="auto"/>
            <w:right w:val="none" w:sz="0" w:space="0" w:color="auto"/>
          </w:divBdr>
        </w:div>
        <w:div w:id="739602177">
          <w:marLeft w:val="0"/>
          <w:marRight w:val="0"/>
          <w:marTop w:val="0"/>
          <w:marBottom w:val="0"/>
          <w:divBdr>
            <w:top w:val="none" w:sz="0" w:space="0" w:color="auto"/>
            <w:left w:val="none" w:sz="0" w:space="0" w:color="auto"/>
            <w:bottom w:val="none" w:sz="0" w:space="0" w:color="auto"/>
            <w:right w:val="none" w:sz="0" w:space="0" w:color="auto"/>
          </w:divBdr>
        </w:div>
        <w:div w:id="740060542">
          <w:marLeft w:val="0"/>
          <w:marRight w:val="0"/>
          <w:marTop w:val="0"/>
          <w:marBottom w:val="0"/>
          <w:divBdr>
            <w:top w:val="none" w:sz="0" w:space="0" w:color="auto"/>
            <w:left w:val="none" w:sz="0" w:space="0" w:color="auto"/>
            <w:bottom w:val="none" w:sz="0" w:space="0" w:color="auto"/>
            <w:right w:val="none" w:sz="0" w:space="0" w:color="auto"/>
          </w:divBdr>
        </w:div>
        <w:div w:id="755832117">
          <w:marLeft w:val="0"/>
          <w:marRight w:val="0"/>
          <w:marTop w:val="0"/>
          <w:marBottom w:val="0"/>
          <w:divBdr>
            <w:top w:val="none" w:sz="0" w:space="0" w:color="auto"/>
            <w:left w:val="none" w:sz="0" w:space="0" w:color="auto"/>
            <w:bottom w:val="none" w:sz="0" w:space="0" w:color="auto"/>
            <w:right w:val="none" w:sz="0" w:space="0" w:color="auto"/>
          </w:divBdr>
        </w:div>
        <w:div w:id="786655927">
          <w:marLeft w:val="0"/>
          <w:marRight w:val="0"/>
          <w:marTop w:val="0"/>
          <w:marBottom w:val="0"/>
          <w:divBdr>
            <w:top w:val="none" w:sz="0" w:space="0" w:color="auto"/>
            <w:left w:val="none" w:sz="0" w:space="0" w:color="auto"/>
            <w:bottom w:val="none" w:sz="0" w:space="0" w:color="auto"/>
            <w:right w:val="none" w:sz="0" w:space="0" w:color="auto"/>
          </w:divBdr>
        </w:div>
        <w:div w:id="797918442">
          <w:marLeft w:val="0"/>
          <w:marRight w:val="0"/>
          <w:marTop w:val="0"/>
          <w:marBottom w:val="0"/>
          <w:divBdr>
            <w:top w:val="none" w:sz="0" w:space="0" w:color="auto"/>
            <w:left w:val="none" w:sz="0" w:space="0" w:color="auto"/>
            <w:bottom w:val="none" w:sz="0" w:space="0" w:color="auto"/>
            <w:right w:val="none" w:sz="0" w:space="0" w:color="auto"/>
          </w:divBdr>
        </w:div>
        <w:div w:id="804812497">
          <w:marLeft w:val="0"/>
          <w:marRight w:val="0"/>
          <w:marTop w:val="0"/>
          <w:marBottom w:val="0"/>
          <w:divBdr>
            <w:top w:val="none" w:sz="0" w:space="0" w:color="auto"/>
            <w:left w:val="none" w:sz="0" w:space="0" w:color="auto"/>
            <w:bottom w:val="none" w:sz="0" w:space="0" w:color="auto"/>
            <w:right w:val="none" w:sz="0" w:space="0" w:color="auto"/>
          </w:divBdr>
        </w:div>
        <w:div w:id="806321047">
          <w:marLeft w:val="0"/>
          <w:marRight w:val="0"/>
          <w:marTop w:val="0"/>
          <w:marBottom w:val="0"/>
          <w:divBdr>
            <w:top w:val="none" w:sz="0" w:space="0" w:color="auto"/>
            <w:left w:val="none" w:sz="0" w:space="0" w:color="auto"/>
            <w:bottom w:val="none" w:sz="0" w:space="0" w:color="auto"/>
            <w:right w:val="none" w:sz="0" w:space="0" w:color="auto"/>
          </w:divBdr>
        </w:div>
        <w:div w:id="820270559">
          <w:marLeft w:val="0"/>
          <w:marRight w:val="0"/>
          <w:marTop w:val="0"/>
          <w:marBottom w:val="0"/>
          <w:divBdr>
            <w:top w:val="none" w:sz="0" w:space="0" w:color="auto"/>
            <w:left w:val="none" w:sz="0" w:space="0" w:color="auto"/>
            <w:bottom w:val="none" w:sz="0" w:space="0" w:color="auto"/>
            <w:right w:val="none" w:sz="0" w:space="0" w:color="auto"/>
          </w:divBdr>
        </w:div>
        <w:div w:id="822353636">
          <w:marLeft w:val="0"/>
          <w:marRight w:val="0"/>
          <w:marTop w:val="0"/>
          <w:marBottom w:val="0"/>
          <w:divBdr>
            <w:top w:val="none" w:sz="0" w:space="0" w:color="auto"/>
            <w:left w:val="none" w:sz="0" w:space="0" w:color="auto"/>
            <w:bottom w:val="none" w:sz="0" w:space="0" w:color="auto"/>
            <w:right w:val="none" w:sz="0" w:space="0" w:color="auto"/>
          </w:divBdr>
        </w:div>
        <w:div w:id="830756961">
          <w:marLeft w:val="0"/>
          <w:marRight w:val="0"/>
          <w:marTop w:val="0"/>
          <w:marBottom w:val="0"/>
          <w:divBdr>
            <w:top w:val="none" w:sz="0" w:space="0" w:color="auto"/>
            <w:left w:val="none" w:sz="0" w:space="0" w:color="auto"/>
            <w:bottom w:val="none" w:sz="0" w:space="0" w:color="auto"/>
            <w:right w:val="none" w:sz="0" w:space="0" w:color="auto"/>
          </w:divBdr>
        </w:div>
        <w:div w:id="844711984">
          <w:marLeft w:val="0"/>
          <w:marRight w:val="0"/>
          <w:marTop w:val="0"/>
          <w:marBottom w:val="0"/>
          <w:divBdr>
            <w:top w:val="none" w:sz="0" w:space="0" w:color="auto"/>
            <w:left w:val="none" w:sz="0" w:space="0" w:color="auto"/>
            <w:bottom w:val="none" w:sz="0" w:space="0" w:color="auto"/>
            <w:right w:val="none" w:sz="0" w:space="0" w:color="auto"/>
          </w:divBdr>
        </w:div>
        <w:div w:id="854077247">
          <w:marLeft w:val="0"/>
          <w:marRight w:val="0"/>
          <w:marTop w:val="0"/>
          <w:marBottom w:val="0"/>
          <w:divBdr>
            <w:top w:val="none" w:sz="0" w:space="0" w:color="auto"/>
            <w:left w:val="none" w:sz="0" w:space="0" w:color="auto"/>
            <w:bottom w:val="none" w:sz="0" w:space="0" w:color="auto"/>
            <w:right w:val="none" w:sz="0" w:space="0" w:color="auto"/>
          </w:divBdr>
        </w:div>
        <w:div w:id="879636288">
          <w:marLeft w:val="0"/>
          <w:marRight w:val="0"/>
          <w:marTop w:val="0"/>
          <w:marBottom w:val="0"/>
          <w:divBdr>
            <w:top w:val="none" w:sz="0" w:space="0" w:color="auto"/>
            <w:left w:val="none" w:sz="0" w:space="0" w:color="auto"/>
            <w:bottom w:val="none" w:sz="0" w:space="0" w:color="auto"/>
            <w:right w:val="none" w:sz="0" w:space="0" w:color="auto"/>
          </w:divBdr>
        </w:div>
        <w:div w:id="881863044">
          <w:marLeft w:val="0"/>
          <w:marRight w:val="0"/>
          <w:marTop w:val="0"/>
          <w:marBottom w:val="0"/>
          <w:divBdr>
            <w:top w:val="none" w:sz="0" w:space="0" w:color="auto"/>
            <w:left w:val="none" w:sz="0" w:space="0" w:color="auto"/>
            <w:bottom w:val="none" w:sz="0" w:space="0" w:color="auto"/>
            <w:right w:val="none" w:sz="0" w:space="0" w:color="auto"/>
          </w:divBdr>
        </w:div>
        <w:div w:id="887834423">
          <w:marLeft w:val="0"/>
          <w:marRight w:val="0"/>
          <w:marTop w:val="0"/>
          <w:marBottom w:val="0"/>
          <w:divBdr>
            <w:top w:val="none" w:sz="0" w:space="0" w:color="auto"/>
            <w:left w:val="none" w:sz="0" w:space="0" w:color="auto"/>
            <w:bottom w:val="none" w:sz="0" w:space="0" w:color="auto"/>
            <w:right w:val="none" w:sz="0" w:space="0" w:color="auto"/>
          </w:divBdr>
        </w:div>
        <w:div w:id="913710476">
          <w:marLeft w:val="0"/>
          <w:marRight w:val="0"/>
          <w:marTop w:val="0"/>
          <w:marBottom w:val="0"/>
          <w:divBdr>
            <w:top w:val="none" w:sz="0" w:space="0" w:color="auto"/>
            <w:left w:val="none" w:sz="0" w:space="0" w:color="auto"/>
            <w:bottom w:val="none" w:sz="0" w:space="0" w:color="auto"/>
            <w:right w:val="none" w:sz="0" w:space="0" w:color="auto"/>
          </w:divBdr>
        </w:div>
        <w:div w:id="933510308">
          <w:marLeft w:val="0"/>
          <w:marRight w:val="0"/>
          <w:marTop w:val="0"/>
          <w:marBottom w:val="0"/>
          <w:divBdr>
            <w:top w:val="none" w:sz="0" w:space="0" w:color="auto"/>
            <w:left w:val="none" w:sz="0" w:space="0" w:color="auto"/>
            <w:bottom w:val="none" w:sz="0" w:space="0" w:color="auto"/>
            <w:right w:val="none" w:sz="0" w:space="0" w:color="auto"/>
          </w:divBdr>
        </w:div>
        <w:div w:id="939214913">
          <w:marLeft w:val="0"/>
          <w:marRight w:val="0"/>
          <w:marTop w:val="0"/>
          <w:marBottom w:val="0"/>
          <w:divBdr>
            <w:top w:val="none" w:sz="0" w:space="0" w:color="auto"/>
            <w:left w:val="none" w:sz="0" w:space="0" w:color="auto"/>
            <w:bottom w:val="none" w:sz="0" w:space="0" w:color="auto"/>
            <w:right w:val="none" w:sz="0" w:space="0" w:color="auto"/>
          </w:divBdr>
        </w:div>
        <w:div w:id="943923571">
          <w:marLeft w:val="0"/>
          <w:marRight w:val="0"/>
          <w:marTop w:val="0"/>
          <w:marBottom w:val="0"/>
          <w:divBdr>
            <w:top w:val="none" w:sz="0" w:space="0" w:color="auto"/>
            <w:left w:val="none" w:sz="0" w:space="0" w:color="auto"/>
            <w:bottom w:val="none" w:sz="0" w:space="0" w:color="auto"/>
            <w:right w:val="none" w:sz="0" w:space="0" w:color="auto"/>
          </w:divBdr>
        </w:div>
        <w:div w:id="976955242">
          <w:marLeft w:val="0"/>
          <w:marRight w:val="0"/>
          <w:marTop w:val="0"/>
          <w:marBottom w:val="0"/>
          <w:divBdr>
            <w:top w:val="none" w:sz="0" w:space="0" w:color="auto"/>
            <w:left w:val="none" w:sz="0" w:space="0" w:color="auto"/>
            <w:bottom w:val="none" w:sz="0" w:space="0" w:color="auto"/>
            <w:right w:val="none" w:sz="0" w:space="0" w:color="auto"/>
          </w:divBdr>
        </w:div>
        <w:div w:id="1001349446">
          <w:marLeft w:val="0"/>
          <w:marRight w:val="0"/>
          <w:marTop w:val="0"/>
          <w:marBottom w:val="0"/>
          <w:divBdr>
            <w:top w:val="none" w:sz="0" w:space="0" w:color="auto"/>
            <w:left w:val="none" w:sz="0" w:space="0" w:color="auto"/>
            <w:bottom w:val="none" w:sz="0" w:space="0" w:color="auto"/>
            <w:right w:val="none" w:sz="0" w:space="0" w:color="auto"/>
          </w:divBdr>
        </w:div>
        <w:div w:id="1008405111">
          <w:marLeft w:val="0"/>
          <w:marRight w:val="0"/>
          <w:marTop w:val="0"/>
          <w:marBottom w:val="0"/>
          <w:divBdr>
            <w:top w:val="none" w:sz="0" w:space="0" w:color="auto"/>
            <w:left w:val="none" w:sz="0" w:space="0" w:color="auto"/>
            <w:bottom w:val="none" w:sz="0" w:space="0" w:color="auto"/>
            <w:right w:val="none" w:sz="0" w:space="0" w:color="auto"/>
          </w:divBdr>
        </w:div>
        <w:div w:id="1009257975">
          <w:marLeft w:val="0"/>
          <w:marRight w:val="0"/>
          <w:marTop w:val="0"/>
          <w:marBottom w:val="0"/>
          <w:divBdr>
            <w:top w:val="none" w:sz="0" w:space="0" w:color="auto"/>
            <w:left w:val="none" w:sz="0" w:space="0" w:color="auto"/>
            <w:bottom w:val="none" w:sz="0" w:space="0" w:color="auto"/>
            <w:right w:val="none" w:sz="0" w:space="0" w:color="auto"/>
          </w:divBdr>
        </w:div>
        <w:div w:id="1018657679">
          <w:marLeft w:val="0"/>
          <w:marRight w:val="0"/>
          <w:marTop w:val="0"/>
          <w:marBottom w:val="0"/>
          <w:divBdr>
            <w:top w:val="none" w:sz="0" w:space="0" w:color="auto"/>
            <w:left w:val="none" w:sz="0" w:space="0" w:color="auto"/>
            <w:bottom w:val="none" w:sz="0" w:space="0" w:color="auto"/>
            <w:right w:val="none" w:sz="0" w:space="0" w:color="auto"/>
          </w:divBdr>
        </w:div>
        <w:div w:id="1033307068">
          <w:marLeft w:val="0"/>
          <w:marRight w:val="0"/>
          <w:marTop w:val="0"/>
          <w:marBottom w:val="0"/>
          <w:divBdr>
            <w:top w:val="none" w:sz="0" w:space="0" w:color="auto"/>
            <w:left w:val="none" w:sz="0" w:space="0" w:color="auto"/>
            <w:bottom w:val="none" w:sz="0" w:space="0" w:color="auto"/>
            <w:right w:val="none" w:sz="0" w:space="0" w:color="auto"/>
          </w:divBdr>
        </w:div>
        <w:div w:id="1047293498">
          <w:marLeft w:val="0"/>
          <w:marRight w:val="0"/>
          <w:marTop w:val="0"/>
          <w:marBottom w:val="0"/>
          <w:divBdr>
            <w:top w:val="none" w:sz="0" w:space="0" w:color="auto"/>
            <w:left w:val="none" w:sz="0" w:space="0" w:color="auto"/>
            <w:bottom w:val="none" w:sz="0" w:space="0" w:color="auto"/>
            <w:right w:val="none" w:sz="0" w:space="0" w:color="auto"/>
          </w:divBdr>
        </w:div>
        <w:div w:id="1053850652">
          <w:marLeft w:val="0"/>
          <w:marRight w:val="0"/>
          <w:marTop w:val="0"/>
          <w:marBottom w:val="0"/>
          <w:divBdr>
            <w:top w:val="none" w:sz="0" w:space="0" w:color="auto"/>
            <w:left w:val="none" w:sz="0" w:space="0" w:color="auto"/>
            <w:bottom w:val="none" w:sz="0" w:space="0" w:color="auto"/>
            <w:right w:val="none" w:sz="0" w:space="0" w:color="auto"/>
          </w:divBdr>
        </w:div>
        <w:div w:id="1056272010">
          <w:marLeft w:val="0"/>
          <w:marRight w:val="0"/>
          <w:marTop w:val="0"/>
          <w:marBottom w:val="0"/>
          <w:divBdr>
            <w:top w:val="none" w:sz="0" w:space="0" w:color="auto"/>
            <w:left w:val="none" w:sz="0" w:space="0" w:color="auto"/>
            <w:bottom w:val="none" w:sz="0" w:space="0" w:color="auto"/>
            <w:right w:val="none" w:sz="0" w:space="0" w:color="auto"/>
          </w:divBdr>
        </w:div>
        <w:div w:id="1073697068">
          <w:marLeft w:val="0"/>
          <w:marRight w:val="0"/>
          <w:marTop w:val="0"/>
          <w:marBottom w:val="0"/>
          <w:divBdr>
            <w:top w:val="none" w:sz="0" w:space="0" w:color="auto"/>
            <w:left w:val="none" w:sz="0" w:space="0" w:color="auto"/>
            <w:bottom w:val="none" w:sz="0" w:space="0" w:color="auto"/>
            <w:right w:val="none" w:sz="0" w:space="0" w:color="auto"/>
          </w:divBdr>
        </w:div>
        <w:div w:id="1082065330">
          <w:marLeft w:val="0"/>
          <w:marRight w:val="0"/>
          <w:marTop w:val="0"/>
          <w:marBottom w:val="0"/>
          <w:divBdr>
            <w:top w:val="none" w:sz="0" w:space="0" w:color="auto"/>
            <w:left w:val="none" w:sz="0" w:space="0" w:color="auto"/>
            <w:bottom w:val="none" w:sz="0" w:space="0" w:color="auto"/>
            <w:right w:val="none" w:sz="0" w:space="0" w:color="auto"/>
          </w:divBdr>
        </w:div>
        <w:div w:id="1092779610">
          <w:marLeft w:val="0"/>
          <w:marRight w:val="0"/>
          <w:marTop w:val="0"/>
          <w:marBottom w:val="0"/>
          <w:divBdr>
            <w:top w:val="none" w:sz="0" w:space="0" w:color="auto"/>
            <w:left w:val="none" w:sz="0" w:space="0" w:color="auto"/>
            <w:bottom w:val="none" w:sz="0" w:space="0" w:color="auto"/>
            <w:right w:val="none" w:sz="0" w:space="0" w:color="auto"/>
          </w:divBdr>
        </w:div>
        <w:div w:id="1098211969">
          <w:marLeft w:val="0"/>
          <w:marRight w:val="0"/>
          <w:marTop w:val="0"/>
          <w:marBottom w:val="0"/>
          <w:divBdr>
            <w:top w:val="none" w:sz="0" w:space="0" w:color="auto"/>
            <w:left w:val="none" w:sz="0" w:space="0" w:color="auto"/>
            <w:bottom w:val="none" w:sz="0" w:space="0" w:color="auto"/>
            <w:right w:val="none" w:sz="0" w:space="0" w:color="auto"/>
          </w:divBdr>
        </w:div>
        <w:div w:id="1106191083">
          <w:marLeft w:val="0"/>
          <w:marRight w:val="0"/>
          <w:marTop w:val="0"/>
          <w:marBottom w:val="0"/>
          <w:divBdr>
            <w:top w:val="none" w:sz="0" w:space="0" w:color="auto"/>
            <w:left w:val="none" w:sz="0" w:space="0" w:color="auto"/>
            <w:bottom w:val="none" w:sz="0" w:space="0" w:color="auto"/>
            <w:right w:val="none" w:sz="0" w:space="0" w:color="auto"/>
          </w:divBdr>
        </w:div>
        <w:div w:id="1106270104">
          <w:marLeft w:val="0"/>
          <w:marRight w:val="0"/>
          <w:marTop w:val="0"/>
          <w:marBottom w:val="0"/>
          <w:divBdr>
            <w:top w:val="none" w:sz="0" w:space="0" w:color="auto"/>
            <w:left w:val="none" w:sz="0" w:space="0" w:color="auto"/>
            <w:bottom w:val="none" w:sz="0" w:space="0" w:color="auto"/>
            <w:right w:val="none" w:sz="0" w:space="0" w:color="auto"/>
          </w:divBdr>
        </w:div>
        <w:div w:id="1113750620">
          <w:marLeft w:val="0"/>
          <w:marRight w:val="0"/>
          <w:marTop w:val="0"/>
          <w:marBottom w:val="0"/>
          <w:divBdr>
            <w:top w:val="none" w:sz="0" w:space="0" w:color="auto"/>
            <w:left w:val="none" w:sz="0" w:space="0" w:color="auto"/>
            <w:bottom w:val="none" w:sz="0" w:space="0" w:color="auto"/>
            <w:right w:val="none" w:sz="0" w:space="0" w:color="auto"/>
          </w:divBdr>
        </w:div>
        <w:div w:id="1125848199">
          <w:marLeft w:val="0"/>
          <w:marRight w:val="0"/>
          <w:marTop w:val="0"/>
          <w:marBottom w:val="0"/>
          <w:divBdr>
            <w:top w:val="none" w:sz="0" w:space="0" w:color="auto"/>
            <w:left w:val="none" w:sz="0" w:space="0" w:color="auto"/>
            <w:bottom w:val="none" w:sz="0" w:space="0" w:color="auto"/>
            <w:right w:val="none" w:sz="0" w:space="0" w:color="auto"/>
          </w:divBdr>
        </w:div>
        <w:div w:id="1143037074">
          <w:marLeft w:val="0"/>
          <w:marRight w:val="0"/>
          <w:marTop w:val="0"/>
          <w:marBottom w:val="0"/>
          <w:divBdr>
            <w:top w:val="none" w:sz="0" w:space="0" w:color="auto"/>
            <w:left w:val="none" w:sz="0" w:space="0" w:color="auto"/>
            <w:bottom w:val="none" w:sz="0" w:space="0" w:color="auto"/>
            <w:right w:val="none" w:sz="0" w:space="0" w:color="auto"/>
          </w:divBdr>
        </w:div>
        <w:div w:id="1151754936">
          <w:marLeft w:val="0"/>
          <w:marRight w:val="0"/>
          <w:marTop w:val="0"/>
          <w:marBottom w:val="0"/>
          <w:divBdr>
            <w:top w:val="none" w:sz="0" w:space="0" w:color="auto"/>
            <w:left w:val="none" w:sz="0" w:space="0" w:color="auto"/>
            <w:bottom w:val="none" w:sz="0" w:space="0" w:color="auto"/>
            <w:right w:val="none" w:sz="0" w:space="0" w:color="auto"/>
          </w:divBdr>
        </w:div>
        <w:div w:id="1152601436">
          <w:marLeft w:val="0"/>
          <w:marRight w:val="0"/>
          <w:marTop w:val="0"/>
          <w:marBottom w:val="0"/>
          <w:divBdr>
            <w:top w:val="none" w:sz="0" w:space="0" w:color="auto"/>
            <w:left w:val="none" w:sz="0" w:space="0" w:color="auto"/>
            <w:bottom w:val="none" w:sz="0" w:space="0" w:color="auto"/>
            <w:right w:val="none" w:sz="0" w:space="0" w:color="auto"/>
          </w:divBdr>
        </w:div>
        <w:div w:id="1156074789">
          <w:marLeft w:val="0"/>
          <w:marRight w:val="0"/>
          <w:marTop w:val="0"/>
          <w:marBottom w:val="0"/>
          <w:divBdr>
            <w:top w:val="none" w:sz="0" w:space="0" w:color="auto"/>
            <w:left w:val="none" w:sz="0" w:space="0" w:color="auto"/>
            <w:bottom w:val="none" w:sz="0" w:space="0" w:color="auto"/>
            <w:right w:val="none" w:sz="0" w:space="0" w:color="auto"/>
          </w:divBdr>
        </w:div>
        <w:div w:id="1158226069">
          <w:marLeft w:val="0"/>
          <w:marRight w:val="0"/>
          <w:marTop w:val="0"/>
          <w:marBottom w:val="0"/>
          <w:divBdr>
            <w:top w:val="none" w:sz="0" w:space="0" w:color="auto"/>
            <w:left w:val="none" w:sz="0" w:space="0" w:color="auto"/>
            <w:bottom w:val="none" w:sz="0" w:space="0" w:color="auto"/>
            <w:right w:val="none" w:sz="0" w:space="0" w:color="auto"/>
          </w:divBdr>
        </w:div>
        <w:div w:id="1165169946">
          <w:marLeft w:val="0"/>
          <w:marRight w:val="0"/>
          <w:marTop w:val="0"/>
          <w:marBottom w:val="0"/>
          <w:divBdr>
            <w:top w:val="none" w:sz="0" w:space="0" w:color="auto"/>
            <w:left w:val="none" w:sz="0" w:space="0" w:color="auto"/>
            <w:bottom w:val="none" w:sz="0" w:space="0" w:color="auto"/>
            <w:right w:val="none" w:sz="0" w:space="0" w:color="auto"/>
          </w:divBdr>
        </w:div>
        <w:div w:id="1172573269">
          <w:marLeft w:val="0"/>
          <w:marRight w:val="0"/>
          <w:marTop w:val="0"/>
          <w:marBottom w:val="0"/>
          <w:divBdr>
            <w:top w:val="none" w:sz="0" w:space="0" w:color="auto"/>
            <w:left w:val="none" w:sz="0" w:space="0" w:color="auto"/>
            <w:bottom w:val="none" w:sz="0" w:space="0" w:color="auto"/>
            <w:right w:val="none" w:sz="0" w:space="0" w:color="auto"/>
          </w:divBdr>
        </w:div>
        <w:div w:id="1173253503">
          <w:marLeft w:val="0"/>
          <w:marRight w:val="0"/>
          <w:marTop w:val="0"/>
          <w:marBottom w:val="0"/>
          <w:divBdr>
            <w:top w:val="none" w:sz="0" w:space="0" w:color="auto"/>
            <w:left w:val="none" w:sz="0" w:space="0" w:color="auto"/>
            <w:bottom w:val="none" w:sz="0" w:space="0" w:color="auto"/>
            <w:right w:val="none" w:sz="0" w:space="0" w:color="auto"/>
          </w:divBdr>
        </w:div>
        <w:div w:id="1181241737">
          <w:marLeft w:val="0"/>
          <w:marRight w:val="0"/>
          <w:marTop w:val="0"/>
          <w:marBottom w:val="0"/>
          <w:divBdr>
            <w:top w:val="none" w:sz="0" w:space="0" w:color="auto"/>
            <w:left w:val="none" w:sz="0" w:space="0" w:color="auto"/>
            <w:bottom w:val="none" w:sz="0" w:space="0" w:color="auto"/>
            <w:right w:val="none" w:sz="0" w:space="0" w:color="auto"/>
          </w:divBdr>
        </w:div>
        <w:div w:id="1193422926">
          <w:marLeft w:val="0"/>
          <w:marRight w:val="0"/>
          <w:marTop w:val="0"/>
          <w:marBottom w:val="0"/>
          <w:divBdr>
            <w:top w:val="none" w:sz="0" w:space="0" w:color="auto"/>
            <w:left w:val="none" w:sz="0" w:space="0" w:color="auto"/>
            <w:bottom w:val="none" w:sz="0" w:space="0" w:color="auto"/>
            <w:right w:val="none" w:sz="0" w:space="0" w:color="auto"/>
          </w:divBdr>
        </w:div>
        <w:div w:id="1198346993">
          <w:marLeft w:val="0"/>
          <w:marRight w:val="0"/>
          <w:marTop w:val="0"/>
          <w:marBottom w:val="0"/>
          <w:divBdr>
            <w:top w:val="none" w:sz="0" w:space="0" w:color="auto"/>
            <w:left w:val="none" w:sz="0" w:space="0" w:color="auto"/>
            <w:bottom w:val="none" w:sz="0" w:space="0" w:color="auto"/>
            <w:right w:val="none" w:sz="0" w:space="0" w:color="auto"/>
          </w:divBdr>
        </w:div>
        <w:div w:id="1200437184">
          <w:marLeft w:val="0"/>
          <w:marRight w:val="0"/>
          <w:marTop w:val="0"/>
          <w:marBottom w:val="0"/>
          <w:divBdr>
            <w:top w:val="none" w:sz="0" w:space="0" w:color="auto"/>
            <w:left w:val="none" w:sz="0" w:space="0" w:color="auto"/>
            <w:bottom w:val="none" w:sz="0" w:space="0" w:color="auto"/>
            <w:right w:val="none" w:sz="0" w:space="0" w:color="auto"/>
          </w:divBdr>
        </w:div>
        <w:div w:id="1237283055">
          <w:marLeft w:val="0"/>
          <w:marRight w:val="0"/>
          <w:marTop w:val="0"/>
          <w:marBottom w:val="0"/>
          <w:divBdr>
            <w:top w:val="none" w:sz="0" w:space="0" w:color="auto"/>
            <w:left w:val="none" w:sz="0" w:space="0" w:color="auto"/>
            <w:bottom w:val="none" w:sz="0" w:space="0" w:color="auto"/>
            <w:right w:val="none" w:sz="0" w:space="0" w:color="auto"/>
          </w:divBdr>
        </w:div>
        <w:div w:id="1259682320">
          <w:marLeft w:val="0"/>
          <w:marRight w:val="0"/>
          <w:marTop w:val="0"/>
          <w:marBottom w:val="0"/>
          <w:divBdr>
            <w:top w:val="none" w:sz="0" w:space="0" w:color="auto"/>
            <w:left w:val="none" w:sz="0" w:space="0" w:color="auto"/>
            <w:bottom w:val="none" w:sz="0" w:space="0" w:color="auto"/>
            <w:right w:val="none" w:sz="0" w:space="0" w:color="auto"/>
          </w:divBdr>
        </w:div>
        <w:div w:id="1261064488">
          <w:marLeft w:val="0"/>
          <w:marRight w:val="0"/>
          <w:marTop w:val="0"/>
          <w:marBottom w:val="0"/>
          <w:divBdr>
            <w:top w:val="none" w:sz="0" w:space="0" w:color="auto"/>
            <w:left w:val="none" w:sz="0" w:space="0" w:color="auto"/>
            <w:bottom w:val="none" w:sz="0" w:space="0" w:color="auto"/>
            <w:right w:val="none" w:sz="0" w:space="0" w:color="auto"/>
          </w:divBdr>
        </w:div>
        <w:div w:id="1263953413">
          <w:marLeft w:val="0"/>
          <w:marRight w:val="0"/>
          <w:marTop w:val="0"/>
          <w:marBottom w:val="0"/>
          <w:divBdr>
            <w:top w:val="none" w:sz="0" w:space="0" w:color="auto"/>
            <w:left w:val="none" w:sz="0" w:space="0" w:color="auto"/>
            <w:bottom w:val="none" w:sz="0" w:space="0" w:color="auto"/>
            <w:right w:val="none" w:sz="0" w:space="0" w:color="auto"/>
          </w:divBdr>
        </w:div>
        <w:div w:id="1281913534">
          <w:marLeft w:val="0"/>
          <w:marRight w:val="0"/>
          <w:marTop w:val="0"/>
          <w:marBottom w:val="0"/>
          <w:divBdr>
            <w:top w:val="none" w:sz="0" w:space="0" w:color="auto"/>
            <w:left w:val="none" w:sz="0" w:space="0" w:color="auto"/>
            <w:bottom w:val="none" w:sz="0" w:space="0" w:color="auto"/>
            <w:right w:val="none" w:sz="0" w:space="0" w:color="auto"/>
          </w:divBdr>
        </w:div>
        <w:div w:id="1284577354">
          <w:marLeft w:val="0"/>
          <w:marRight w:val="0"/>
          <w:marTop w:val="0"/>
          <w:marBottom w:val="0"/>
          <w:divBdr>
            <w:top w:val="none" w:sz="0" w:space="0" w:color="auto"/>
            <w:left w:val="none" w:sz="0" w:space="0" w:color="auto"/>
            <w:bottom w:val="none" w:sz="0" w:space="0" w:color="auto"/>
            <w:right w:val="none" w:sz="0" w:space="0" w:color="auto"/>
          </w:divBdr>
        </w:div>
        <w:div w:id="1321157234">
          <w:marLeft w:val="0"/>
          <w:marRight w:val="0"/>
          <w:marTop w:val="0"/>
          <w:marBottom w:val="0"/>
          <w:divBdr>
            <w:top w:val="none" w:sz="0" w:space="0" w:color="auto"/>
            <w:left w:val="none" w:sz="0" w:space="0" w:color="auto"/>
            <w:bottom w:val="none" w:sz="0" w:space="0" w:color="auto"/>
            <w:right w:val="none" w:sz="0" w:space="0" w:color="auto"/>
          </w:divBdr>
        </w:div>
        <w:div w:id="1336542100">
          <w:marLeft w:val="0"/>
          <w:marRight w:val="0"/>
          <w:marTop w:val="0"/>
          <w:marBottom w:val="0"/>
          <w:divBdr>
            <w:top w:val="none" w:sz="0" w:space="0" w:color="auto"/>
            <w:left w:val="none" w:sz="0" w:space="0" w:color="auto"/>
            <w:bottom w:val="none" w:sz="0" w:space="0" w:color="auto"/>
            <w:right w:val="none" w:sz="0" w:space="0" w:color="auto"/>
          </w:divBdr>
        </w:div>
        <w:div w:id="1347708942">
          <w:marLeft w:val="0"/>
          <w:marRight w:val="0"/>
          <w:marTop w:val="0"/>
          <w:marBottom w:val="0"/>
          <w:divBdr>
            <w:top w:val="none" w:sz="0" w:space="0" w:color="auto"/>
            <w:left w:val="none" w:sz="0" w:space="0" w:color="auto"/>
            <w:bottom w:val="none" w:sz="0" w:space="0" w:color="auto"/>
            <w:right w:val="none" w:sz="0" w:space="0" w:color="auto"/>
          </w:divBdr>
        </w:div>
        <w:div w:id="1361980068">
          <w:marLeft w:val="0"/>
          <w:marRight w:val="0"/>
          <w:marTop w:val="0"/>
          <w:marBottom w:val="0"/>
          <w:divBdr>
            <w:top w:val="none" w:sz="0" w:space="0" w:color="auto"/>
            <w:left w:val="none" w:sz="0" w:space="0" w:color="auto"/>
            <w:bottom w:val="none" w:sz="0" w:space="0" w:color="auto"/>
            <w:right w:val="none" w:sz="0" w:space="0" w:color="auto"/>
          </w:divBdr>
        </w:div>
        <w:div w:id="1369064972">
          <w:marLeft w:val="0"/>
          <w:marRight w:val="0"/>
          <w:marTop w:val="0"/>
          <w:marBottom w:val="0"/>
          <w:divBdr>
            <w:top w:val="none" w:sz="0" w:space="0" w:color="auto"/>
            <w:left w:val="none" w:sz="0" w:space="0" w:color="auto"/>
            <w:bottom w:val="none" w:sz="0" w:space="0" w:color="auto"/>
            <w:right w:val="none" w:sz="0" w:space="0" w:color="auto"/>
          </w:divBdr>
        </w:div>
        <w:div w:id="1383210870">
          <w:marLeft w:val="0"/>
          <w:marRight w:val="0"/>
          <w:marTop w:val="0"/>
          <w:marBottom w:val="0"/>
          <w:divBdr>
            <w:top w:val="none" w:sz="0" w:space="0" w:color="auto"/>
            <w:left w:val="none" w:sz="0" w:space="0" w:color="auto"/>
            <w:bottom w:val="none" w:sz="0" w:space="0" w:color="auto"/>
            <w:right w:val="none" w:sz="0" w:space="0" w:color="auto"/>
          </w:divBdr>
        </w:div>
        <w:div w:id="1388138973">
          <w:marLeft w:val="0"/>
          <w:marRight w:val="0"/>
          <w:marTop w:val="0"/>
          <w:marBottom w:val="0"/>
          <w:divBdr>
            <w:top w:val="none" w:sz="0" w:space="0" w:color="auto"/>
            <w:left w:val="none" w:sz="0" w:space="0" w:color="auto"/>
            <w:bottom w:val="none" w:sz="0" w:space="0" w:color="auto"/>
            <w:right w:val="none" w:sz="0" w:space="0" w:color="auto"/>
          </w:divBdr>
        </w:div>
        <w:div w:id="1390883668">
          <w:marLeft w:val="0"/>
          <w:marRight w:val="0"/>
          <w:marTop w:val="0"/>
          <w:marBottom w:val="0"/>
          <w:divBdr>
            <w:top w:val="none" w:sz="0" w:space="0" w:color="auto"/>
            <w:left w:val="none" w:sz="0" w:space="0" w:color="auto"/>
            <w:bottom w:val="none" w:sz="0" w:space="0" w:color="auto"/>
            <w:right w:val="none" w:sz="0" w:space="0" w:color="auto"/>
          </w:divBdr>
        </w:div>
        <w:div w:id="1392850749">
          <w:marLeft w:val="0"/>
          <w:marRight w:val="0"/>
          <w:marTop w:val="0"/>
          <w:marBottom w:val="0"/>
          <w:divBdr>
            <w:top w:val="none" w:sz="0" w:space="0" w:color="auto"/>
            <w:left w:val="none" w:sz="0" w:space="0" w:color="auto"/>
            <w:bottom w:val="none" w:sz="0" w:space="0" w:color="auto"/>
            <w:right w:val="none" w:sz="0" w:space="0" w:color="auto"/>
          </w:divBdr>
        </w:div>
        <w:div w:id="1429615926">
          <w:marLeft w:val="0"/>
          <w:marRight w:val="0"/>
          <w:marTop w:val="0"/>
          <w:marBottom w:val="0"/>
          <w:divBdr>
            <w:top w:val="none" w:sz="0" w:space="0" w:color="auto"/>
            <w:left w:val="none" w:sz="0" w:space="0" w:color="auto"/>
            <w:bottom w:val="none" w:sz="0" w:space="0" w:color="auto"/>
            <w:right w:val="none" w:sz="0" w:space="0" w:color="auto"/>
          </w:divBdr>
        </w:div>
        <w:div w:id="1441758804">
          <w:marLeft w:val="0"/>
          <w:marRight w:val="0"/>
          <w:marTop w:val="0"/>
          <w:marBottom w:val="0"/>
          <w:divBdr>
            <w:top w:val="none" w:sz="0" w:space="0" w:color="auto"/>
            <w:left w:val="none" w:sz="0" w:space="0" w:color="auto"/>
            <w:bottom w:val="none" w:sz="0" w:space="0" w:color="auto"/>
            <w:right w:val="none" w:sz="0" w:space="0" w:color="auto"/>
          </w:divBdr>
        </w:div>
        <w:div w:id="1458138888">
          <w:marLeft w:val="0"/>
          <w:marRight w:val="0"/>
          <w:marTop w:val="0"/>
          <w:marBottom w:val="0"/>
          <w:divBdr>
            <w:top w:val="none" w:sz="0" w:space="0" w:color="auto"/>
            <w:left w:val="none" w:sz="0" w:space="0" w:color="auto"/>
            <w:bottom w:val="none" w:sz="0" w:space="0" w:color="auto"/>
            <w:right w:val="none" w:sz="0" w:space="0" w:color="auto"/>
          </w:divBdr>
        </w:div>
        <w:div w:id="1475026205">
          <w:marLeft w:val="0"/>
          <w:marRight w:val="0"/>
          <w:marTop w:val="0"/>
          <w:marBottom w:val="0"/>
          <w:divBdr>
            <w:top w:val="none" w:sz="0" w:space="0" w:color="auto"/>
            <w:left w:val="none" w:sz="0" w:space="0" w:color="auto"/>
            <w:bottom w:val="none" w:sz="0" w:space="0" w:color="auto"/>
            <w:right w:val="none" w:sz="0" w:space="0" w:color="auto"/>
          </w:divBdr>
        </w:div>
        <w:div w:id="1478456896">
          <w:marLeft w:val="0"/>
          <w:marRight w:val="0"/>
          <w:marTop w:val="0"/>
          <w:marBottom w:val="0"/>
          <w:divBdr>
            <w:top w:val="none" w:sz="0" w:space="0" w:color="auto"/>
            <w:left w:val="none" w:sz="0" w:space="0" w:color="auto"/>
            <w:bottom w:val="none" w:sz="0" w:space="0" w:color="auto"/>
            <w:right w:val="none" w:sz="0" w:space="0" w:color="auto"/>
          </w:divBdr>
        </w:div>
        <w:div w:id="1479567111">
          <w:marLeft w:val="0"/>
          <w:marRight w:val="0"/>
          <w:marTop w:val="0"/>
          <w:marBottom w:val="0"/>
          <w:divBdr>
            <w:top w:val="none" w:sz="0" w:space="0" w:color="auto"/>
            <w:left w:val="none" w:sz="0" w:space="0" w:color="auto"/>
            <w:bottom w:val="none" w:sz="0" w:space="0" w:color="auto"/>
            <w:right w:val="none" w:sz="0" w:space="0" w:color="auto"/>
          </w:divBdr>
        </w:div>
        <w:div w:id="1497650795">
          <w:marLeft w:val="0"/>
          <w:marRight w:val="0"/>
          <w:marTop w:val="0"/>
          <w:marBottom w:val="0"/>
          <w:divBdr>
            <w:top w:val="none" w:sz="0" w:space="0" w:color="auto"/>
            <w:left w:val="none" w:sz="0" w:space="0" w:color="auto"/>
            <w:bottom w:val="none" w:sz="0" w:space="0" w:color="auto"/>
            <w:right w:val="none" w:sz="0" w:space="0" w:color="auto"/>
          </w:divBdr>
        </w:div>
        <w:div w:id="1511799438">
          <w:marLeft w:val="0"/>
          <w:marRight w:val="0"/>
          <w:marTop w:val="0"/>
          <w:marBottom w:val="0"/>
          <w:divBdr>
            <w:top w:val="none" w:sz="0" w:space="0" w:color="auto"/>
            <w:left w:val="none" w:sz="0" w:space="0" w:color="auto"/>
            <w:bottom w:val="none" w:sz="0" w:space="0" w:color="auto"/>
            <w:right w:val="none" w:sz="0" w:space="0" w:color="auto"/>
          </w:divBdr>
        </w:div>
        <w:div w:id="1512842141">
          <w:marLeft w:val="0"/>
          <w:marRight w:val="0"/>
          <w:marTop w:val="0"/>
          <w:marBottom w:val="0"/>
          <w:divBdr>
            <w:top w:val="none" w:sz="0" w:space="0" w:color="auto"/>
            <w:left w:val="none" w:sz="0" w:space="0" w:color="auto"/>
            <w:bottom w:val="none" w:sz="0" w:space="0" w:color="auto"/>
            <w:right w:val="none" w:sz="0" w:space="0" w:color="auto"/>
          </w:divBdr>
        </w:div>
        <w:div w:id="1513958418">
          <w:marLeft w:val="0"/>
          <w:marRight w:val="0"/>
          <w:marTop w:val="0"/>
          <w:marBottom w:val="0"/>
          <w:divBdr>
            <w:top w:val="none" w:sz="0" w:space="0" w:color="auto"/>
            <w:left w:val="none" w:sz="0" w:space="0" w:color="auto"/>
            <w:bottom w:val="none" w:sz="0" w:space="0" w:color="auto"/>
            <w:right w:val="none" w:sz="0" w:space="0" w:color="auto"/>
          </w:divBdr>
        </w:div>
        <w:div w:id="1519663456">
          <w:marLeft w:val="0"/>
          <w:marRight w:val="0"/>
          <w:marTop w:val="0"/>
          <w:marBottom w:val="0"/>
          <w:divBdr>
            <w:top w:val="none" w:sz="0" w:space="0" w:color="auto"/>
            <w:left w:val="none" w:sz="0" w:space="0" w:color="auto"/>
            <w:bottom w:val="none" w:sz="0" w:space="0" w:color="auto"/>
            <w:right w:val="none" w:sz="0" w:space="0" w:color="auto"/>
          </w:divBdr>
        </w:div>
        <w:div w:id="1526597775">
          <w:marLeft w:val="0"/>
          <w:marRight w:val="0"/>
          <w:marTop w:val="0"/>
          <w:marBottom w:val="0"/>
          <w:divBdr>
            <w:top w:val="none" w:sz="0" w:space="0" w:color="auto"/>
            <w:left w:val="none" w:sz="0" w:space="0" w:color="auto"/>
            <w:bottom w:val="none" w:sz="0" w:space="0" w:color="auto"/>
            <w:right w:val="none" w:sz="0" w:space="0" w:color="auto"/>
          </w:divBdr>
        </w:div>
        <w:div w:id="1538348162">
          <w:marLeft w:val="0"/>
          <w:marRight w:val="0"/>
          <w:marTop w:val="0"/>
          <w:marBottom w:val="0"/>
          <w:divBdr>
            <w:top w:val="none" w:sz="0" w:space="0" w:color="auto"/>
            <w:left w:val="none" w:sz="0" w:space="0" w:color="auto"/>
            <w:bottom w:val="none" w:sz="0" w:space="0" w:color="auto"/>
            <w:right w:val="none" w:sz="0" w:space="0" w:color="auto"/>
          </w:divBdr>
        </w:div>
        <w:div w:id="1540505547">
          <w:marLeft w:val="0"/>
          <w:marRight w:val="0"/>
          <w:marTop w:val="0"/>
          <w:marBottom w:val="0"/>
          <w:divBdr>
            <w:top w:val="none" w:sz="0" w:space="0" w:color="auto"/>
            <w:left w:val="none" w:sz="0" w:space="0" w:color="auto"/>
            <w:bottom w:val="none" w:sz="0" w:space="0" w:color="auto"/>
            <w:right w:val="none" w:sz="0" w:space="0" w:color="auto"/>
          </w:divBdr>
        </w:div>
        <w:div w:id="1543327409">
          <w:marLeft w:val="0"/>
          <w:marRight w:val="0"/>
          <w:marTop w:val="0"/>
          <w:marBottom w:val="0"/>
          <w:divBdr>
            <w:top w:val="none" w:sz="0" w:space="0" w:color="auto"/>
            <w:left w:val="none" w:sz="0" w:space="0" w:color="auto"/>
            <w:bottom w:val="none" w:sz="0" w:space="0" w:color="auto"/>
            <w:right w:val="none" w:sz="0" w:space="0" w:color="auto"/>
          </w:divBdr>
        </w:div>
        <w:div w:id="1549560907">
          <w:marLeft w:val="0"/>
          <w:marRight w:val="0"/>
          <w:marTop w:val="0"/>
          <w:marBottom w:val="0"/>
          <w:divBdr>
            <w:top w:val="none" w:sz="0" w:space="0" w:color="auto"/>
            <w:left w:val="none" w:sz="0" w:space="0" w:color="auto"/>
            <w:bottom w:val="none" w:sz="0" w:space="0" w:color="auto"/>
            <w:right w:val="none" w:sz="0" w:space="0" w:color="auto"/>
          </w:divBdr>
        </w:div>
        <w:div w:id="1554466357">
          <w:marLeft w:val="0"/>
          <w:marRight w:val="0"/>
          <w:marTop w:val="0"/>
          <w:marBottom w:val="0"/>
          <w:divBdr>
            <w:top w:val="none" w:sz="0" w:space="0" w:color="auto"/>
            <w:left w:val="none" w:sz="0" w:space="0" w:color="auto"/>
            <w:bottom w:val="none" w:sz="0" w:space="0" w:color="auto"/>
            <w:right w:val="none" w:sz="0" w:space="0" w:color="auto"/>
          </w:divBdr>
        </w:div>
        <w:div w:id="1555896131">
          <w:marLeft w:val="0"/>
          <w:marRight w:val="0"/>
          <w:marTop w:val="0"/>
          <w:marBottom w:val="0"/>
          <w:divBdr>
            <w:top w:val="none" w:sz="0" w:space="0" w:color="auto"/>
            <w:left w:val="none" w:sz="0" w:space="0" w:color="auto"/>
            <w:bottom w:val="none" w:sz="0" w:space="0" w:color="auto"/>
            <w:right w:val="none" w:sz="0" w:space="0" w:color="auto"/>
          </w:divBdr>
        </w:div>
        <w:div w:id="1582830194">
          <w:marLeft w:val="0"/>
          <w:marRight w:val="0"/>
          <w:marTop w:val="0"/>
          <w:marBottom w:val="0"/>
          <w:divBdr>
            <w:top w:val="none" w:sz="0" w:space="0" w:color="auto"/>
            <w:left w:val="none" w:sz="0" w:space="0" w:color="auto"/>
            <w:bottom w:val="none" w:sz="0" w:space="0" w:color="auto"/>
            <w:right w:val="none" w:sz="0" w:space="0" w:color="auto"/>
          </w:divBdr>
        </w:div>
        <w:div w:id="1596012803">
          <w:marLeft w:val="0"/>
          <w:marRight w:val="0"/>
          <w:marTop w:val="0"/>
          <w:marBottom w:val="0"/>
          <w:divBdr>
            <w:top w:val="none" w:sz="0" w:space="0" w:color="auto"/>
            <w:left w:val="none" w:sz="0" w:space="0" w:color="auto"/>
            <w:bottom w:val="none" w:sz="0" w:space="0" w:color="auto"/>
            <w:right w:val="none" w:sz="0" w:space="0" w:color="auto"/>
          </w:divBdr>
        </w:div>
        <w:div w:id="1603755012">
          <w:marLeft w:val="0"/>
          <w:marRight w:val="0"/>
          <w:marTop w:val="0"/>
          <w:marBottom w:val="0"/>
          <w:divBdr>
            <w:top w:val="none" w:sz="0" w:space="0" w:color="auto"/>
            <w:left w:val="none" w:sz="0" w:space="0" w:color="auto"/>
            <w:bottom w:val="none" w:sz="0" w:space="0" w:color="auto"/>
            <w:right w:val="none" w:sz="0" w:space="0" w:color="auto"/>
          </w:divBdr>
        </w:div>
        <w:div w:id="1607694189">
          <w:marLeft w:val="0"/>
          <w:marRight w:val="0"/>
          <w:marTop w:val="0"/>
          <w:marBottom w:val="0"/>
          <w:divBdr>
            <w:top w:val="none" w:sz="0" w:space="0" w:color="auto"/>
            <w:left w:val="none" w:sz="0" w:space="0" w:color="auto"/>
            <w:bottom w:val="none" w:sz="0" w:space="0" w:color="auto"/>
            <w:right w:val="none" w:sz="0" w:space="0" w:color="auto"/>
          </w:divBdr>
        </w:div>
        <w:div w:id="1615408834">
          <w:marLeft w:val="0"/>
          <w:marRight w:val="0"/>
          <w:marTop w:val="0"/>
          <w:marBottom w:val="0"/>
          <w:divBdr>
            <w:top w:val="none" w:sz="0" w:space="0" w:color="auto"/>
            <w:left w:val="none" w:sz="0" w:space="0" w:color="auto"/>
            <w:bottom w:val="none" w:sz="0" w:space="0" w:color="auto"/>
            <w:right w:val="none" w:sz="0" w:space="0" w:color="auto"/>
          </w:divBdr>
        </w:div>
        <w:div w:id="1619483216">
          <w:marLeft w:val="0"/>
          <w:marRight w:val="0"/>
          <w:marTop w:val="0"/>
          <w:marBottom w:val="0"/>
          <w:divBdr>
            <w:top w:val="none" w:sz="0" w:space="0" w:color="auto"/>
            <w:left w:val="none" w:sz="0" w:space="0" w:color="auto"/>
            <w:bottom w:val="none" w:sz="0" w:space="0" w:color="auto"/>
            <w:right w:val="none" w:sz="0" w:space="0" w:color="auto"/>
          </w:divBdr>
        </w:div>
        <w:div w:id="1624383653">
          <w:marLeft w:val="0"/>
          <w:marRight w:val="0"/>
          <w:marTop w:val="0"/>
          <w:marBottom w:val="0"/>
          <w:divBdr>
            <w:top w:val="none" w:sz="0" w:space="0" w:color="auto"/>
            <w:left w:val="none" w:sz="0" w:space="0" w:color="auto"/>
            <w:bottom w:val="none" w:sz="0" w:space="0" w:color="auto"/>
            <w:right w:val="none" w:sz="0" w:space="0" w:color="auto"/>
          </w:divBdr>
        </w:div>
        <w:div w:id="1633319443">
          <w:marLeft w:val="0"/>
          <w:marRight w:val="0"/>
          <w:marTop w:val="0"/>
          <w:marBottom w:val="0"/>
          <w:divBdr>
            <w:top w:val="none" w:sz="0" w:space="0" w:color="auto"/>
            <w:left w:val="none" w:sz="0" w:space="0" w:color="auto"/>
            <w:bottom w:val="none" w:sz="0" w:space="0" w:color="auto"/>
            <w:right w:val="none" w:sz="0" w:space="0" w:color="auto"/>
          </w:divBdr>
        </w:div>
        <w:div w:id="1659337387">
          <w:marLeft w:val="0"/>
          <w:marRight w:val="0"/>
          <w:marTop w:val="0"/>
          <w:marBottom w:val="0"/>
          <w:divBdr>
            <w:top w:val="none" w:sz="0" w:space="0" w:color="auto"/>
            <w:left w:val="none" w:sz="0" w:space="0" w:color="auto"/>
            <w:bottom w:val="none" w:sz="0" w:space="0" w:color="auto"/>
            <w:right w:val="none" w:sz="0" w:space="0" w:color="auto"/>
          </w:divBdr>
        </w:div>
        <w:div w:id="1674917343">
          <w:marLeft w:val="0"/>
          <w:marRight w:val="0"/>
          <w:marTop w:val="0"/>
          <w:marBottom w:val="0"/>
          <w:divBdr>
            <w:top w:val="none" w:sz="0" w:space="0" w:color="auto"/>
            <w:left w:val="none" w:sz="0" w:space="0" w:color="auto"/>
            <w:bottom w:val="none" w:sz="0" w:space="0" w:color="auto"/>
            <w:right w:val="none" w:sz="0" w:space="0" w:color="auto"/>
          </w:divBdr>
        </w:div>
        <w:div w:id="1715082735">
          <w:marLeft w:val="0"/>
          <w:marRight w:val="0"/>
          <w:marTop w:val="0"/>
          <w:marBottom w:val="0"/>
          <w:divBdr>
            <w:top w:val="none" w:sz="0" w:space="0" w:color="auto"/>
            <w:left w:val="none" w:sz="0" w:space="0" w:color="auto"/>
            <w:bottom w:val="none" w:sz="0" w:space="0" w:color="auto"/>
            <w:right w:val="none" w:sz="0" w:space="0" w:color="auto"/>
          </w:divBdr>
        </w:div>
        <w:div w:id="1725448791">
          <w:marLeft w:val="0"/>
          <w:marRight w:val="0"/>
          <w:marTop w:val="0"/>
          <w:marBottom w:val="0"/>
          <w:divBdr>
            <w:top w:val="none" w:sz="0" w:space="0" w:color="auto"/>
            <w:left w:val="none" w:sz="0" w:space="0" w:color="auto"/>
            <w:bottom w:val="none" w:sz="0" w:space="0" w:color="auto"/>
            <w:right w:val="none" w:sz="0" w:space="0" w:color="auto"/>
          </w:divBdr>
        </w:div>
        <w:div w:id="1765229409">
          <w:marLeft w:val="0"/>
          <w:marRight w:val="0"/>
          <w:marTop w:val="0"/>
          <w:marBottom w:val="0"/>
          <w:divBdr>
            <w:top w:val="none" w:sz="0" w:space="0" w:color="auto"/>
            <w:left w:val="none" w:sz="0" w:space="0" w:color="auto"/>
            <w:bottom w:val="none" w:sz="0" w:space="0" w:color="auto"/>
            <w:right w:val="none" w:sz="0" w:space="0" w:color="auto"/>
          </w:divBdr>
        </w:div>
        <w:div w:id="1801730346">
          <w:marLeft w:val="0"/>
          <w:marRight w:val="0"/>
          <w:marTop w:val="0"/>
          <w:marBottom w:val="0"/>
          <w:divBdr>
            <w:top w:val="none" w:sz="0" w:space="0" w:color="auto"/>
            <w:left w:val="none" w:sz="0" w:space="0" w:color="auto"/>
            <w:bottom w:val="none" w:sz="0" w:space="0" w:color="auto"/>
            <w:right w:val="none" w:sz="0" w:space="0" w:color="auto"/>
          </w:divBdr>
        </w:div>
        <w:div w:id="1802111966">
          <w:marLeft w:val="0"/>
          <w:marRight w:val="0"/>
          <w:marTop w:val="0"/>
          <w:marBottom w:val="0"/>
          <w:divBdr>
            <w:top w:val="none" w:sz="0" w:space="0" w:color="auto"/>
            <w:left w:val="none" w:sz="0" w:space="0" w:color="auto"/>
            <w:bottom w:val="none" w:sz="0" w:space="0" w:color="auto"/>
            <w:right w:val="none" w:sz="0" w:space="0" w:color="auto"/>
          </w:divBdr>
        </w:div>
        <w:div w:id="1809202470">
          <w:marLeft w:val="0"/>
          <w:marRight w:val="0"/>
          <w:marTop w:val="0"/>
          <w:marBottom w:val="0"/>
          <w:divBdr>
            <w:top w:val="none" w:sz="0" w:space="0" w:color="auto"/>
            <w:left w:val="none" w:sz="0" w:space="0" w:color="auto"/>
            <w:bottom w:val="none" w:sz="0" w:space="0" w:color="auto"/>
            <w:right w:val="none" w:sz="0" w:space="0" w:color="auto"/>
          </w:divBdr>
        </w:div>
        <w:div w:id="1812164348">
          <w:marLeft w:val="0"/>
          <w:marRight w:val="0"/>
          <w:marTop w:val="0"/>
          <w:marBottom w:val="0"/>
          <w:divBdr>
            <w:top w:val="none" w:sz="0" w:space="0" w:color="auto"/>
            <w:left w:val="none" w:sz="0" w:space="0" w:color="auto"/>
            <w:bottom w:val="none" w:sz="0" w:space="0" w:color="auto"/>
            <w:right w:val="none" w:sz="0" w:space="0" w:color="auto"/>
          </w:divBdr>
        </w:div>
        <w:div w:id="1814248508">
          <w:marLeft w:val="0"/>
          <w:marRight w:val="0"/>
          <w:marTop w:val="0"/>
          <w:marBottom w:val="0"/>
          <w:divBdr>
            <w:top w:val="none" w:sz="0" w:space="0" w:color="auto"/>
            <w:left w:val="none" w:sz="0" w:space="0" w:color="auto"/>
            <w:bottom w:val="none" w:sz="0" w:space="0" w:color="auto"/>
            <w:right w:val="none" w:sz="0" w:space="0" w:color="auto"/>
          </w:divBdr>
        </w:div>
        <w:div w:id="1834831140">
          <w:marLeft w:val="0"/>
          <w:marRight w:val="0"/>
          <w:marTop w:val="0"/>
          <w:marBottom w:val="0"/>
          <w:divBdr>
            <w:top w:val="none" w:sz="0" w:space="0" w:color="auto"/>
            <w:left w:val="none" w:sz="0" w:space="0" w:color="auto"/>
            <w:bottom w:val="none" w:sz="0" w:space="0" w:color="auto"/>
            <w:right w:val="none" w:sz="0" w:space="0" w:color="auto"/>
          </w:divBdr>
        </w:div>
        <w:div w:id="1835296534">
          <w:marLeft w:val="0"/>
          <w:marRight w:val="0"/>
          <w:marTop w:val="0"/>
          <w:marBottom w:val="0"/>
          <w:divBdr>
            <w:top w:val="none" w:sz="0" w:space="0" w:color="auto"/>
            <w:left w:val="none" w:sz="0" w:space="0" w:color="auto"/>
            <w:bottom w:val="none" w:sz="0" w:space="0" w:color="auto"/>
            <w:right w:val="none" w:sz="0" w:space="0" w:color="auto"/>
          </w:divBdr>
        </w:div>
        <w:div w:id="1842772370">
          <w:marLeft w:val="0"/>
          <w:marRight w:val="0"/>
          <w:marTop w:val="0"/>
          <w:marBottom w:val="0"/>
          <w:divBdr>
            <w:top w:val="none" w:sz="0" w:space="0" w:color="auto"/>
            <w:left w:val="none" w:sz="0" w:space="0" w:color="auto"/>
            <w:bottom w:val="none" w:sz="0" w:space="0" w:color="auto"/>
            <w:right w:val="none" w:sz="0" w:space="0" w:color="auto"/>
          </w:divBdr>
        </w:div>
        <w:div w:id="1844708713">
          <w:marLeft w:val="0"/>
          <w:marRight w:val="0"/>
          <w:marTop w:val="0"/>
          <w:marBottom w:val="0"/>
          <w:divBdr>
            <w:top w:val="none" w:sz="0" w:space="0" w:color="auto"/>
            <w:left w:val="none" w:sz="0" w:space="0" w:color="auto"/>
            <w:bottom w:val="none" w:sz="0" w:space="0" w:color="auto"/>
            <w:right w:val="none" w:sz="0" w:space="0" w:color="auto"/>
          </w:divBdr>
        </w:div>
        <w:div w:id="1861430069">
          <w:marLeft w:val="0"/>
          <w:marRight w:val="0"/>
          <w:marTop w:val="0"/>
          <w:marBottom w:val="0"/>
          <w:divBdr>
            <w:top w:val="none" w:sz="0" w:space="0" w:color="auto"/>
            <w:left w:val="none" w:sz="0" w:space="0" w:color="auto"/>
            <w:bottom w:val="none" w:sz="0" w:space="0" w:color="auto"/>
            <w:right w:val="none" w:sz="0" w:space="0" w:color="auto"/>
          </w:divBdr>
        </w:div>
        <w:div w:id="1881622199">
          <w:marLeft w:val="0"/>
          <w:marRight w:val="0"/>
          <w:marTop w:val="0"/>
          <w:marBottom w:val="0"/>
          <w:divBdr>
            <w:top w:val="none" w:sz="0" w:space="0" w:color="auto"/>
            <w:left w:val="none" w:sz="0" w:space="0" w:color="auto"/>
            <w:bottom w:val="none" w:sz="0" w:space="0" w:color="auto"/>
            <w:right w:val="none" w:sz="0" w:space="0" w:color="auto"/>
          </w:divBdr>
        </w:div>
        <w:div w:id="1901093441">
          <w:marLeft w:val="0"/>
          <w:marRight w:val="0"/>
          <w:marTop w:val="0"/>
          <w:marBottom w:val="0"/>
          <w:divBdr>
            <w:top w:val="none" w:sz="0" w:space="0" w:color="auto"/>
            <w:left w:val="none" w:sz="0" w:space="0" w:color="auto"/>
            <w:bottom w:val="none" w:sz="0" w:space="0" w:color="auto"/>
            <w:right w:val="none" w:sz="0" w:space="0" w:color="auto"/>
          </w:divBdr>
        </w:div>
        <w:div w:id="1948732111">
          <w:marLeft w:val="0"/>
          <w:marRight w:val="0"/>
          <w:marTop w:val="0"/>
          <w:marBottom w:val="0"/>
          <w:divBdr>
            <w:top w:val="none" w:sz="0" w:space="0" w:color="auto"/>
            <w:left w:val="none" w:sz="0" w:space="0" w:color="auto"/>
            <w:bottom w:val="none" w:sz="0" w:space="0" w:color="auto"/>
            <w:right w:val="none" w:sz="0" w:space="0" w:color="auto"/>
          </w:divBdr>
        </w:div>
        <w:div w:id="1960259646">
          <w:marLeft w:val="0"/>
          <w:marRight w:val="0"/>
          <w:marTop w:val="0"/>
          <w:marBottom w:val="0"/>
          <w:divBdr>
            <w:top w:val="none" w:sz="0" w:space="0" w:color="auto"/>
            <w:left w:val="none" w:sz="0" w:space="0" w:color="auto"/>
            <w:bottom w:val="none" w:sz="0" w:space="0" w:color="auto"/>
            <w:right w:val="none" w:sz="0" w:space="0" w:color="auto"/>
          </w:divBdr>
        </w:div>
        <w:div w:id="1968386424">
          <w:marLeft w:val="0"/>
          <w:marRight w:val="0"/>
          <w:marTop w:val="0"/>
          <w:marBottom w:val="0"/>
          <w:divBdr>
            <w:top w:val="none" w:sz="0" w:space="0" w:color="auto"/>
            <w:left w:val="none" w:sz="0" w:space="0" w:color="auto"/>
            <w:bottom w:val="none" w:sz="0" w:space="0" w:color="auto"/>
            <w:right w:val="none" w:sz="0" w:space="0" w:color="auto"/>
          </w:divBdr>
        </w:div>
        <w:div w:id="1979258348">
          <w:marLeft w:val="0"/>
          <w:marRight w:val="0"/>
          <w:marTop w:val="0"/>
          <w:marBottom w:val="0"/>
          <w:divBdr>
            <w:top w:val="none" w:sz="0" w:space="0" w:color="auto"/>
            <w:left w:val="none" w:sz="0" w:space="0" w:color="auto"/>
            <w:bottom w:val="none" w:sz="0" w:space="0" w:color="auto"/>
            <w:right w:val="none" w:sz="0" w:space="0" w:color="auto"/>
          </w:divBdr>
        </w:div>
        <w:div w:id="1992173399">
          <w:marLeft w:val="0"/>
          <w:marRight w:val="0"/>
          <w:marTop w:val="0"/>
          <w:marBottom w:val="0"/>
          <w:divBdr>
            <w:top w:val="none" w:sz="0" w:space="0" w:color="auto"/>
            <w:left w:val="none" w:sz="0" w:space="0" w:color="auto"/>
            <w:bottom w:val="none" w:sz="0" w:space="0" w:color="auto"/>
            <w:right w:val="none" w:sz="0" w:space="0" w:color="auto"/>
          </w:divBdr>
        </w:div>
        <w:div w:id="1994795161">
          <w:marLeft w:val="0"/>
          <w:marRight w:val="0"/>
          <w:marTop w:val="0"/>
          <w:marBottom w:val="0"/>
          <w:divBdr>
            <w:top w:val="none" w:sz="0" w:space="0" w:color="auto"/>
            <w:left w:val="none" w:sz="0" w:space="0" w:color="auto"/>
            <w:bottom w:val="none" w:sz="0" w:space="0" w:color="auto"/>
            <w:right w:val="none" w:sz="0" w:space="0" w:color="auto"/>
          </w:divBdr>
        </w:div>
        <w:div w:id="2006471088">
          <w:marLeft w:val="0"/>
          <w:marRight w:val="0"/>
          <w:marTop w:val="0"/>
          <w:marBottom w:val="0"/>
          <w:divBdr>
            <w:top w:val="none" w:sz="0" w:space="0" w:color="auto"/>
            <w:left w:val="none" w:sz="0" w:space="0" w:color="auto"/>
            <w:bottom w:val="none" w:sz="0" w:space="0" w:color="auto"/>
            <w:right w:val="none" w:sz="0" w:space="0" w:color="auto"/>
          </w:divBdr>
        </w:div>
        <w:div w:id="2016882695">
          <w:marLeft w:val="0"/>
          <w:marRight w:val="0"/>
          <w:marTop w:val="0"/>
          <w:marBottom w:val="0"/>
          <w:divBdr>
            <w:top w:val="none" w:sz="0" w:space="0" w:color="auto"/>
            <w:left w:val="none" w:sz="0" w:space="0" w:color="auto"/>
            <w:bottom w:val="none" w:sz="0" w:space="0" w:color="auto"/>
            <w:right w:val="none" w:sz="0" w:space="0" w:color="auto"/>
          </w:divBdr>
        </w:div>
        <w:div w:id="2019850562">
          <w:marLeft w:val="0"/>
          <w:marRight w:val="0"/>
          <w:marTop w:val="0"/>
          <w:marBottom w:val="0"/>
          <w:divBdr>
            <w:top w:val="none" w:sz="0" w:space="0" w:color="auto"/>
            <w:left w:val="none" w:sz="0" w:space="0" w:color="auto"/>
            <w:bottom w:val="none" w:sz="0" w:space="0" w:color="auto"/>
            <w:right w:val="none" w:sz="0" w:space="0" w:color="auto"/>
          </w:divBdr>
        </w:div>
        <w:div w:id="2036151450">
          <w:marLeft w:val="0"/>
          <w:marRight w:val="0"/>
          <w:marTop w:val="0"/>
          <w:marBottom w:val="0"/>
          <w:divBdr>
            <w:top w:val="none" w:sz="0" w:space="0" w:color="auto"/>
            <w:left w:val="none" w:sz="0" w:space="0" w:color="auto"/>
            <w:bottom w:val="none" w:sz="0" w:space="0" w:color="auto"/>
            <w:right w:val="none" w:sz="0" w:space="0" w:color="auto"/>
          </w:divBdr>
        </w:div>
        <w:div w:id="2039815180">
          <w:marLeft w:val="0"/>
          <w:marRight w:val="0"/>
          <w:marTop w:val="0"/>
          <w:marBottom w:val="0"/>
          <w:divBdr>
            <w:top w:val="none" w:sz="0" w:space="0" w:color="auto"/>
            <w:left w:val="none" w:sz="0" w:space="0" w:color="auto"/>
            <w:bottom w:val="none" w:sz="0" w:space="0" w:color="auto"/>
            <w:right w:val="none" w:sz="0" w:space="0" w:color="auto"/>
          </w:divBdr>
        </w:div>
        <w:div w:id="2084716392">
          <w:marLeft w:val="0"/>
          <w:marRight w:val="0"/>
          <w:marTop w:val="0"/>
          <w:marBottom w:val="0"/>
          <w:divBdr>
            <w:top w:val="none" w:sz="0" w:space="0" w:color="auto"/>
            <w:left w:val="none" w:sz="0" w:space="0" w:color="auto"/>
            <w:bottom w:val="none" w:sz="0" w:space="0" w:color="auto"/>
            <w:right w:val="none" w:sz="0" w:space="0" w:color="auto"/>
          </w:divBdr>
        </w:div>
        <w:div w:id="2092071299">
          <w:marLeft w:val="0"/>
          <w:marRight w:val="0"/>
          <w:marTop w:val="0"/>
          <w:marBottom w:val="0"/>
          <w:divBdr>
            <w:top w:val="none" w:sz="0" w:space="0" w:color="auto"/>
            <w:left w:val="none" w:sz="0" w:space="0" w:color="auto"/>
            <w:bottom w:val="none" w:sz="0" w:space="0" w:color="auto"/>
            <w:right w:val="none" w:sz="0" w:space="0" w:color="auto"/>
          </w:divBdr>
        </w:div>
        <w:div w:id="2108766153">
          <w:marLeft w:val="0"/>
          <w:marRight w:val="0"/>
          <w:marTop w:val="0"/>
          <w:marBottom w:val="0"/>
          <w:divBdr>
            <w:top w:val="none" w:sz="0" w:space="0" w:color="auto"/>
            <w:left w:val="none" w:sz="0" w:space="0" w:color="auto"/>
            <w:bottom w:val="none" w:sz="0" w:space="0" w:color="auto"/>
            <w:right w:val="none" w:sz="0" w:space="0" w:color="auto"/>
          </w:divBdr>
        </w:div>
        <w:div w:id="2115905330">
          <w:marLeft w:val="0"/>
          <w:marRight w:val="0"/>
          <w:marTop w:val="0"/>
          <w:marBottom w:val="0"/>
          <w:divBdr>
            <w:top w:val="none" w:sz="0" w:space="0" w:color="auto"/>
            <w:left w:val="none" w:sz="0" w:space="0" w:color="auto"/>
            <w:bottom w:val="none" w:sz="0" w:space="0" w:color="auto"/>
            <w:right w:val="none" w:sz="0" w:space="0" w:color="auto"/>
          </w:divBdr>
        </w:div>
        <w:div w:id="2118475855">
          <w:marLeft w:val="0"/>
          <w:marRight w:val="0"/>
          <w:marTop w:val="0"/>
          <w:marBottom w:val="0"/>
          <w:divBdr>
            <w:top w:val="none" w:sz="0" w:space="0" w:color="auto"/>
            <w:left w:val="none" w:sz="0" w:space="0" w:color="auto"/>
            <w:bottom w:val="none" w:sz="0" w:space="0" w:color="auto"/>
            <w:right w:val="none" w:sz="0" w:space="0" w:color="auto"/>
          </w:divBdr>
        </w:div>
        <w:div w:id="2124034000">
          <w:marLeft w:val="0"/>
          <w:marRight w:val="0"/>
          <w:marTop w:val="0"/>
          <w:marBottom w:val="0"/>
          <w:divBdr>
            <w:top w:val="none" w:sz="0" w:space="0" w:color="auto"/>
            <w:left w:val="none" w:sz="0" w:space="0" w:color="auto"/>
            <w:bottom w:val="none" w:sz="0" w:space="0" w:color="auto"/>
            <w:right w:val="none" w:sz="0" w:space="0" w:color="auto"/>
          </w:divBdr>
        </w:div>
        <w:div w:id="2124567585">
          <w:marLeft w:val="0"/>
          <w:marRight w:val="0"/>
          <w:marTop w:val="0"/>
          <w:marBottom w:val="0"/>
          <w:divBdr>
            <w:top w:val="none" w:sz="0" w:space="0" w:color="auto"/>
            <w:left w:val="none" w:sz="0" w:space="0" w:color="auto"/>
            <w:bottom w:val="none" w:sz="0" w:space="0" w:color="auto"/>
            <w:right w:val="none" w:sz="0" w:space="0" w:color="auto"/>
          </w:divBdr>
        </w:div>
        <w:div w:id="2124958774">
          <w:marLeft w:val="0"/>
          <w:marRight w:val="0"/>
          <w:marTop w:val="0"/>
          <w:marBottom w:val="0"/>
          <w:divBdr>
            <w:top w:val="none" w:sz="0" w:space="0" w:color="auto"/>
            <w:left w:val="none" w:sz="0" w:space="0" w:color="auto"/>
            <w:bottom w:val="none" w:sz="0" w:space="0" w:color="auto"/>
            <w:right w:val="none" w:sz="0" w:space="0" w:color="auto"/>
          </w:divBdr>
        </w:div>
        <w:div w:id="2141262500">
          <w:marLeft w:val="0"/>
          <w:marRight w:val="0"/>
          <w:marTop w:val="0"/>
          <w:marBottom w:val="0"/>
          <w:divBdr>
            <w:top w:val="none" w:sz="0" w:space="0" w:color="auto"/>
            <w:left w:val="none" w:sz="0" w:space="0" w:color="auto"/>
            <w:bottom w:val="none" w:sz="0" w:space="0" w:color="auto"/>
            <w:right w:val="none" w:sz="0" w:space="0" w:color="auto"/>
          </w:divBdr>
        </w:div>
        <w:div w:id="2141996694">
          <w:marLeft w:val="0"/>
          <w:marRight w:val="0"/>
          <w:marTop w:val="0"/>
          <w:marBottom w:val="0"/>
          <w:divBdr>
            <w:top w:val="none" w:sz="0" w:space="0" w:color="auto"/>
            <w:left w:val="none" w:sz="0" w:space="0" w:color="auto"/>
            <w:bottom w:val="none" w:sz="0" w:space="0" w:color="auto"/>
            <w:right w:val="none" w:sz="0" w:space="0" w:color="auto"/>
          </w:divBdr>
        </w:div>
      </w:divsChild>
    </w:div>
    <w:div w:id="153692217">
      <w:bodyDiv w:val="1"/>
      <w:marLeft w:val="0"/>
      <w:marRight w:val="0"/>
      <w:marTop w:val="0"/>
      <w:marBottom w:val="0"/>
      <w:divBdr>
        <w:top w:val="none" w:sz="0" w:space="0" w:color="auto"/>
        <w:left w:val="none" w:sz="0" w:space="0" w:color="auto"/>
        <w:bottom w:val="none" w:sz="0" w:space="0" w:color="auto"/>
        <w:right w:val="none" w:sz="0" w:space="0" w:color="auto"/>
      </w:divBdr>
    </w:div>
    <w:div w:id="262543275">
      <w:bodyDiv w:val="1"/>
      <w:marLeft w:val="0"/>
      <w:marRight w:val="0"/>
      <w:marTop w:val="0"/>
      <w:marBottom w:val="0"/>
      <w:divBdr>
        <w:top w:val="none" w:sz="0" w:space="0" w:color="auto"/>
        <w:left w:val="none" w:sz="0" w:space="0" w:color="auto"/>
        <w:bottom w:val="none" w:sz="0" w:space="0" w:color="auto"/>
        <w:right w:val="none" w:sz="0" w:space="0" w:color="auto"/>
      </w:divBdr>
    </w:div>
    <w:div w:id="268513157">
      <w:bodyDiv w:val="1"/>
      <w:marLeft w:val="0"/>
      <w:marRight w:val="0"/>
      <w:marTop w:val="0"/>
      <w:marBottom w:val="0"/>
      <w:divBdr>
        <w:top w:val="none" w:sz="0" w:space="0" w:color="auto"/>
        <w:left w:val="none" w:sz="0" w:space="0" w:color="auto"/>
        <w:bottom w:val="none" w:sz="0" w:space="0" w:color="auto"/>
        <w:right w:val="none" w:sz="0" w:space="0" w:color="auto"/>
      </w:divBdr>
      <w:divsChild>
        <w:div w:id="295720488">
          <w:marLeft w:val="0"/>
          <w:marRight w:val="0"/>
          <w:marTop w:val="0"/>
          <w:marBottom w:val="0"/>
          <w:divBdr>
            <w:top w:val="none" w:sz="0" w:space="0" w:color="auto"/>
            <w:left w:val="none" w:sz="0" w:space="0" w:color="auto"/>
            <w:bottom w:val="none" w:sz="0" w:space="0" w:color="auto"/>
            <w:right w:val="none" w:sz="0" w:space="0" w:color="auto"/>
          </w:divBdr>
        </w:div>
        <w:div w:id="413018389">
          <w:marLeft w:val="0"/>
          <w:marRight w:val="0"/>
          <w:marTop w:val="0"/>
          <w:marBottom w:val="0"/>
          <w:divBdr>
            <w:top w:val="none" w:sz="0" w:space="0" w:color="auto"/>
            <w:left w:val="none" w:sz="0" w:space="0" w:color="auto"/>
            <w:bottom w:val="none" w:sz="0" w:space="0" w:color="auto"/>
            <w:right w:val="none" w:sz="0" w:space="0" w:color="auto"/>
          </w:divBdr>
        </w:div>
        <w:div w:id="1259215250">
          <w:marLeft w:val="0"/>
          <w:marRight w:val="0"/>
          <w:marTop w:val="0"/>
          <w:marBottom w:val="0"/>
          <w:divBdr>
            <w:top w:val="none" w:sz="0" w:space="0" w:color="auto"/>
            <w:left w:val="none" w:sz="0" w:space="0" w:color="auto"/>
            <w:bottom w:val="none" w:sz="0" w:space="0" w:color="auto"/>
            <w:right w:val="none" w:sz="0" w:space="0" w:color="auto"/>
          </w:divBdr>
        </w:div>
        <w:div w:id="1390570921">
          <w:marLeft w:val="0"/>
          <w:marRight w:val="0"/>
          <w:marTop w:val="0"/>
          <w:marBottom w:val="0"/>
          <w:divBdr>
            <w:top w:val="none" w:sz="0" w:space="0" w:color="auto"/>
            <w:left w:val="none" w:sz="0" w:space="0" w:color="auto"/>
            <w:bottom w:val="none" w:sz="0" w:space="0" w:color="auto"/>
            <w:right w:val="none" w:sz="0" w:space="0" w:color="auto"/>
          </w:divBdr>
        </w:div>
      </w:divsChild>
    </w:div>
    <w:div w:id="270089818">
      <w:bodyDiv w:val="1"/>
      <w:marLeft w:val="0"/>
      <w:marRight w:val="0"/>
      <w:marTop w:val="0"/>
      <w:marBottom w:val="0"/>
      <w:divBdr>
        <w:top w:val="none" w:sz="0" w:space="0" w:color="auto"/>
        <w:left w:val="none" w:sz="0" w:space="0" w:color="auto"/>
        <w:bottom w:val="none" w:sz="0" w:space="0" w:color="auto"/>
        <w:right w:val="none" w:sz="0" w:space="0" w:color="auto"/>
      </w:divBdr>
      <w:divsChild>
        <w:div w:id="45422921">
          <w:marLeft w:val="0"/>
          <w:marRight w:val="0"/>
          <w:marTop w:val="0"/>
          <w:marBottom w:val="0"/>
          <w:divBdr>
            <w:top w:val="none" w:sz="0" w:space="0" w:color="auto"/>
            <w:left w:val="none" w:sz="0" w:space="0" w:color="auto"/>
            <w:bottom w:val="none" w:sz="0" w:space="0" w:color="auto"/>
            <w:right w:val="none" w:sz="0" w:space="0" w:color="auto"/>
          </w:divBdr>
        </w:div>
        <w:div w:id="149640075">
          <w:marLeft w:val="0"/>
          <w:marRight w:val="0"/>
          <w:marTop w:val="0"/>
          <w:marBottom w:val="0"/>
          <w:divBdr>
            <w:top w:val="none" w:sz="0" w:space="0" w:color="auto"/>
            <w:left w:val="none" w:sz="0" w:space="0" w:color="auto"/>
            <w:bottom w:val="none" w:sz="0" w:space="0" w:color="auto"/>
            <w:right w:val="none" w:sz="0" w:space="0" w:color="auto"/>
          </w:divBdr>
        </w:div>
        <w:div w:id="157039409">
          <w:marLeft w:val="0"/>
          <w:marRight w:val="0"/>
          <w:marTop w:val="0"/>
          <w:marBottom w:val="0"/>
          <w:divBdr>
            <w:top w:val="none" w:sz="0" w:space="0" w:color="auto"/>
            <w:left w:val="none" w:sz="0" w:space="0" w:color="auto"/>
            <w:bottom w:val="none" w:sz="0" w:space="0" w:color="auto"/>
            <w:right w:val="none" w:sz="0" w:space="0" w:color="auto"/>
          </w:divBdr>
        </w:div>
        <w:div w:id="214511483">
          <w:marLeft w:val="0"/>
          <w:marRight w:val="0"/>
          <w:marTop w:val="0"/>
          <w:marBottom w:val="0"/>
          <w:divBdr>
            <w:top w:val="none" w:sz="0" w:space="0" w:color="auto"/>
            <w:left w:val="none" w:sz="0" w:space="0" w:color="auto"/>
            <w:bottom w:val="none" w:sz="0" w:space="0" w:color="auto"/>
            <w:right w:val="none" w:sz="0" w:space="0" w:color="auto"/>
          </w:divBdr>
        </w:div>
        <w:div w:id="1221987526">
          <w:marLeft w:val="0"/>
          <w:marRight w:val="0"/>
          <w:marTop w:val="0"/>
          <w:marBottom w:val="0"/>
          <w:divBdr>
            <w:top w:val="none" w:sz="0" w:space="0" w:color="auto"/>
            <w:left w:val="none" w:sz="0" w:space="0" w:color="auto"/>
            <w:bottom w:val="none" w:sz="0" w:space="0" w:color="auto"/>
            <w:right w:val="none" w:sz="0" w:space="0" w:color="auto"/>
          </w:divBdr>
        </w:div>
        <w:div w:id="1493448051">
          <w:marLeft w:val="0"/>
          <w:marRight w:val="0"/>
          <w:marTop w:val="0"/>
          <w:marBottom w:val="0"/>
          <w:divBdr>
            <w:top w:val="none" w:sz="0" w:space="0" w:color="auto"/>
            <w:left w:val="none" w:sz="0" w:space="0" w:color="auto"/>
            <w:bottom w:val="none" w:sz="0" w:space="0" w:color="auto"/>
            <w:right w:val="none" w:sz="0" w:space="0" w:color="auto"/>
          </w:divBdr>
        </w:div>
      </w:divsChild>
    </w:div>
    <w:div w:id="285359404">
      <w:bodyDiv w:val="1"/>
      <w:marLeft w:val="0"/>
      <w:marRight w:val="0"/>
      <w:marTop w:val="0"/>
      <w:marBottom w:val="0"/>
      <w:divBdr>
        <w:top w:val="none" w:sz="0" w:space="0" w:color="auto"/>
        <w:left w:val="none" w:sz="0" w:space="0" w:color="auto"/>
        <w:bottom w:val="none" w:sz="0" w:space="0" w:color="auto"/>
        <w:right w:val="none" w:sz="0" w:space="0" w:color="auto"/>
      </w:divBdr>
    </w:div>
    <w:div w:id="286132985">
      <w:bodyDiv w:val="1"/>
      <w:marLeft w:val="0"/>
      <w:marRight w:val="0"/>
      <w:marTop w:val="0"/>
      <w:marBottom w:val="0"/>
      <w:divBdr>
        <w:top w:val="none" w:sz="0" w:space="0" w:color="auto"/>
        <w:left w:val="none" w:sz="0" w:space="0" w:color="auto"/>
        <w:bottom w:val="none" w:sz="0" w:space="0" w:color="auto"/>
        <w:right w:val="none" w:sz="0" w:space="0" w:color="auto"/>
      </w:divBdr>
      <w:divsChild>
        <w:div w:id="335302935">
          <w:marLeft w:val="0"/>
          <w:marRight w:val="0"/>
          <w:marTop w:val="0"/>
          <w:marBottom w:val="0"/>
          <w:divBdr>
            <w:top w:val="none" w:sz="0" w:space="0" w:color="auto"/>
            <w:left w:val="none" w:sz="0" w:space="0" w:color="auto"/>
            <w:bottom w:val="none" w:sz="0" w:space="0" w:color="auto"/>
            <w:right w:val="none" w:sz="0" w:space="0" w:color="auto"/>
          </w:divBdr>
        </w:div>
      </w:divsChild>
    </w:div>
    <w:div w:id="290284523">
      <w:bodyDiv w:val="1"/>
      <w:marLeft w:val="0"/>
      <w:marRight w:val="0"/>
      <w:marTop w:val="0"/>
      <w:marBottom w:val="0"/>
      <w:divBdr>
        <w:top w:val="none" w:sz="0" w:space="0" w:color="auto"/>
        <w:left w:val="none" w:sz="0" w:space="0" w:color="auto"/>
        <w:bottom w:val="none" w:sz="0" w:space="0" w:color="auto"/>
        <w:right w:val="none" w:sz="0" w:space="0" w:color="auto"/>
      </w:divBdr>
      <w:divsChild>
        <w:div w:id="69238062">
          <w:marLeft w:val="0"/>
          <w:marRight w:val="0"/>
          <w:marTop w:val="0"/>
          <w:marBottom w:val="0"/>
          <w:divBdr>
            <w:top w:val="none" w:sz="0" w:space="0" w:color="auto"/>
            <w:left w:val="none" w:sz="0" w:space="0" w:color="auto"/>
            <w:bottom w:val="none" w:sz="0" w:space="0" w:color="auto"/>
            <w:right w:val="none" w:sz="0" w:space="0" w:color="auto"/>
          </w:divBdr>
        </w:div>
        <w:div w:id="907884027">
          <w:marLeft w:val="0"/>
          <w:marRight w:val="0"/>
          <w:marTop w:val="0"/>
          <w:marBottom w:val="0"/>
          <w:divBdr>
            <w:top w:val="none" w:sz="0" w:space="0" w:color="auto"/>
            <w:left w:val="none" w:sz="0" w:space="0" w:color="auto"/>
            <w:bottom w:val="none" w:sz="0" w:space="0" w:color="auto"/>
            <w:right w:val="none" w:sz="0" w:space="0" w:color="auto"/>
          </w:divBdr>
        </w:div>
        <w:div w:id="1678581346">
          <w:marLeft w:val="0"/>
          <w:marRight w:val="0"/>
          <w:marTop w:val="0"/>
          <w:marBottom w:val="0"/>
          <w:divBdr>
            <w:top w:val="none" w:sz="0" w:space="0" w:color="auto"/>
            <w:left w:val="none" w:sz="0" w:space="0" w:color="auto"/>
            <w:bottom w:val="none" w:sz="0" w:space="0" w:color="auto"/>
            <w:right w:val="none" w:sz="0" w:space="0" w:color="auto"/>
          </w:divBdr>
        </w:div>
        <w:div w:id="1748265281">
          <w:marLeft w:val="0"/>
          <w:marRight w:val="0"/>
          <w:marTop w:val="0"/>
          <w:marBottom w:val="0"/>
          <w:divBdr>
            <w:top w:val="none" w:sz="0" w:space="0" w:color="auto"/>
            <w:left w:val="none" w:sz="0" w:space="0" w:color="auto"/>
            <w:bottom w:val="none" w:sz="0" w:space="0" w:color="auto"/>
            <w:right w:val="none" w:sz="0" w:space="0" w:color="auto"/>
          </w:divBdr>
        </w:div>
      </w:divsChild>
    </w:div>
    <w:div w:id="331105761">
      <w:bodyDiv w:val="1"/>
      <w:marLeft w:val="0"/>
      <w:marRight w:val="0"/>
      <w:marTop w:val="0"/>
      <w:marBottom w:val="0"/>
      <w:divBdr>
        <w:top w:val="none" w:sz="0" w:space="0" w:color="auto"/>
        <w:left w:val="none" w:sz="0" w:space="0" w:color="auto"/>
        <w:bottom w:val="none" w:sz="0" w:space="0" w:color="auto"/>
        <w:right w:val="none" w:sz="0" w:space="0" w:color="auto"/>
      </w:divBdr>
    </w:div>
    <w:div w:id="363219247">
      <w:bodyDiv w:val="1"/>
      <w:marLeft w:val="0"/>
      <w:marRight w:val="0"/>
      <w:marTop w:val="0"/>
      <w:marBottom w:val="0"/>
      <w:divBdr>
        <w:top w:val="none" w:sz="0" w:space="0" w:color="auto"/>
        <w:left w:val="none" w:sz="0" w:space="0" w:color="auto"/>
        <w:bottom w:val="none" w:sz="0" w:space="0" w:color="auto"/>
        <w:right w:val="none" w:sz="0" w:space="0" w:color="auto"/>
      </w:divBdr>
    </w:div>
    <w:div w:id="469976858">
      <w:bodyDiv w:val="1"/>
      <w:marLeft w:val="0"/>
      <w:marRight w:val="0"/>
      <w:marTop w:val="0"/>
      <w:marBottom w:val="0"/>
      <w:divBdr>
        <w:top w:val="none" w:sz="0" w:space="0" w:color="auto"/>
        <w:left w:val="none" w:sz="0" w:space="0" w:color="auto"/>
        <w:bottom w:val="none" w:sz="0" w:space="0" w:color="auto"/>
        <w:right w:val="none" w:sz="0" w:space="0" w:color="auto"/>
      </w:divBdr>
    </w:div>
    <w:div w:id="562134215">
      <w:bodyDiv w:val="1"/>
      <w:marLeft w:val="0"/>
      <w:marRight w:val="0"/>
      <w:marTop w:val="0"/>
      <w:marBottom w:val="0"/>
      <w:divBdr>
        <w:top w:val="none" w:sz="0" w:space="0" w:color="auto"/>
        <w:left w:val="none" w:sz="0" w:space="0" w:color="auto"/>
        <w:bottom w:val="none" w:sz="0" w:space="0" w:color="auto"/>
        <w:right w:val="none" w:sz="0" w:space="0" w:color="auto"/>
      </w:divBdr>
      <w:divsChild>
        <w:div w:id="1836725816">
          <w:marLeft w:val="0"/>
          <w:marRight w:val="0"/>
          <w:marTop w:val="0"/>
          <w:marBottom w:val="0"/>
          <w:divBdr>
            <w:top w:val="none" w:sz="0" w:space="0" w:color="auto"/>
            <w:left w:val="none" w:sz="0" w:space="0" w:color="auto"/>
            <w:bottom w:val="none" w:sz="0" w:space="0" w:color="auto"/>
            <w:right w:val="none" w:sz="0" w:space="0" w:color="auto"/>
          </w:divBdr>
        </w:div>
      </w:divsChild>
    </w:div>
    <w:div w:id="629167179">
      <w:bodyDiv w:val="1"/>
      <w:marLeft w:val="0"/>
      <w:marRight w:val="0"/>
      <w:marTop w:val="0"/>
      <w:marBottom w:val="0"/>
      <w:divBdr>
        <w:top w:val="none" w:sz="0" w:space="0" w:color="auto"/>
        <w:left w:val="none" w:sz="0" w:space="0" w:color="auto"/>
        <w:bottom w:val="none" w:sz="0" w:space="0" w:color="auto"/>
        <w:right w:val="none" w:sz="0" w:space="0" w:color="auto"/>
      </w:divBdr>
    </w:div>
    <w:div w:id="647981669">
      <w:bodyDiv w:val="1"/>
      <w:marLeft w:val="0"/>
      <w:marRight w:val="0"/>
      <w:marTop w:val="0"/>
      <w:marBottom w:val="0"/>
      <w:divBdr>
        <w:top w:val="none" w:sz="0" w:space="0" w:color="auto"/>
        <w:left w:val="none" w:sz="0" w:space="0" w:color="auto"/>
        <w:bottom w:val="none" w:sz="0" w:space="0" w:color="auto"/>
        <w:right w:val="none" w:sz="0" w:space="0" w:color="auto"/>
      </w:divBdr>
      <w:divsChild>
        <w:div w:id="1516994553">
          <w:marLeft w:val="0"/>
          <w:marRight w:val="0"/>
          <w:marTop w:val="100"/>
          <w:marBottom w:val="100"/>
          <w:divBdr>
            <w:top w:val="none" w:sz="0" w:space="0" w:color="auto"/>
            <w:left w:val="none" w:sz="0" w:space="0" w:color="auto"/>
            <w:bottom w:val="none" w:sz="0" w:space="0" w:color="auto"/>
            <w:right w:val="none" w:sz="0" w:space="0" w:color="auto"/>
          </w:divBdr>
          <w:divsChild>
            <w:div w:id="1126049727">
              <w:marLeft w:val="0"/>
              <w:marRight w:val="0"/>
              <w:marTop w:val="225"/>
              <w:marBottom w:val="0"/>
              <w:divBdr>
                <w:top w:val="none" w:sz="0" w:space="0" w:color="auto"/>
                <w:left w:val="none" w:sz="0" w:space="0" w:color="auto"/>
                <w:bottom w:val="none" w:sz="0" w:space="0" w:color="auto"/>
                <w:right w:val="none" w:sz="0" w:space="0" w:color="auto"/>
              </w:divBdr>
              <w:divsChild>
                <w:div w:id="94635370">
                  <w:marLeft w:val="0"/>
                  <w:marRight w:val="0"/>
                  <w:marTop w:val="0"/>
                  <w:marBottom w:val="300"/>
                  <w:divBdr>
                    <w:top w:val="none" w:sz="0" w:space="0" w:color="auto"/>
                    <w:left w:val="none" w:sz="0" w:space="0" w:color="auto"/>
                    <w:bottom w:val="none" w:sz="0" w:space="0" w:color="auto"/>
                    <w:right w:val="none" w:sz="0" w:space="0" w:color="auto"/>
                  </w:divBdr>
                  <w:divsChild>
                    <w:div w:id="671183773">
                      <w:marLeft w:val="0"/>
                      <w:marRight w:val="0"/>
                      <w:marTop w:val="0"/>
                      <w:marBottom w:val="300"/>
                      <w:divBdr>
                        <w:top w:val="none" w:sz="0" w:space="0" w:color="auto"/>
                        <w:left w:val="none" w:sz="0" w:space="0" w:color="auto"/>
                        <w:bottom w:val="none" w:sz="0" w:space="0" w:color="auto"/>
                        <w:right w:val="none" w:sz="0" w:space="0" w:color="auto"/>
                      </w:divBdr>
                      <w:divsChild>
                        <w:div w:id="95545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9043545">
      <w:bodyDiv w:val="1"/>
      <w:marLeft w:val="0"/>
      <w:marRight w:val="0"/>
      <w:marTop w:val="0"/>
      <w:marBottom w:val="0"/>
      <w:divBdr>
        <w:top w:val="none" w:sz="0" w:space="0" w:color="auto"/>
        <w:left w:val="none" w:sz="0" w:space="0" w:color="auto"/>
        <w:bottom w:val="none" w:sz="0" w:space="0" w:color="auto"/>
        <w:right w:val="none" w:sz="0" w:space="0" w:color="auto"/>
      </w:divBdr>
    </w:div>
    <w:div w:id="754398495">
      <w:bodyDiv w:val="1"/>
      <w:marLeft w:val="0"/>
      <w:marRight w:val="0"/>
      <w:marTop w:val="0"/>
      <w:marBottom w:val="0"/>
      <w:divBdr>
        <w:top w:val="none" w:sz="0" w:space="0" w:color="auto"/>
        <w:left w:val="none" w:sz="0" w:space="0" w:color="auto"/>
        <w:bottom w:val="none" w:sz="0" w:space="0" w:color="auto"/>
        <w:right w:val="none" w:sz="0" w:space="0" w:color="auto"/>
      </w:divBdr>
    </w:div>
    <w:div w:id="851603606">
      <w:bodyDiv w:val="1"/>
      <w:marLeft w:val="150"/>
      <w:marRight w:val="150"/>
      <w:marTop w:val="150"/>
      <w:marBottom w:val="0"/>
      <w:divBdr>
        <w:top w:val="none" w:sz="0" w:space="0" w:color="auto"/>
        <w:left w:val="none" w:sz="0" w:space="0" w:color="auto"/>
        <w:bottom w:val="none" w:sz="0" w:space="0" w:color="auto"/>
        <w:right w:val="none" w:sz="0" w:space="0" w:color="auto"/>
      </w:divBdr>
    </w:div>
    <w:div w:id="895042267">
      <w:bodyDiv w:val="1"/>
      <w:marLeft w:val="0"/>
      <w:marRight w:val="0"/>
      <w:marTop w:val="0"/>
      <w:marBottom w:val="0"/>
      <w:divBdr>
        <w:top w:val="none" w:sz="0" w:space="0" w:color="auto"/>
        <w:left w:val="none" w:sz="0" w:space="0" w:color="auto"/>
        <w:bottom w:val="none" w:sz="0" w:space="0" w:color="auto"/>
        <w:right w:val="none" w:sz="0" w:space="0" w:color="auto"/>
      </w:divBdr>
    </w:div>
    <w:div w:id="921723482">
      <w:bodyDiv w:val="1"/>
      <w:marLeft w:val="45"/>
      <w:marRight w:val="45"/>
      <w:marTop w:val="45"/>
      <w:marBottom w:val="45"/>
      <w:divBdr>
        <w:top w:val="none" w:sz="0" w:space="0" w:color="auto"/>
        <w:left w:val="none" w:sz="0" w:space="0" w:color="auto"/>
        <w:bottom w:val="none" w:sz="0" w:space="0" w:color="auto"/>
        <w:right w:val="none" w:sz="0" w:space="0" w:color="auto"/>
      </w:divBdr>
    </w:div>
    <w:div w:id="933904251">
      <w:bodyDiv w:val="1"/>
      <w:marLeft w:val="0"/>
      <w:marRight w:val="0"/>
      <w:marTop w:val="0"/>
      <w:marBottom w:val="0"/>
      <w:divBdr>
        <w:top w:val="none" w:sz="0" w:space="0" w:color="auto"/>
        <w:left w:val="none" w:sz="0" w:space="0" w:color="auto"/>
        <w:bottom w:val="none" w:sz="0" w:space="0" w:color="auto"/>
        <w:right w:val="none" w:sz="0" w:space="0" w:color="auto"/>
      </w:divBdr>
      <w:divsChild>
        <w:div w:id="376852490">
          <w:marLeft w:val="0"/>
          <w:marRight w:val="0"/>
          <w:marTop w:val="0"/>
          <w:marBottom w:val="0"/>
          <w:divBdr>
            <w:top w:val="none" w:sz="0" w:space="0" w:color="auto"/>
            <w:left w:val="none" w:sz="0" w:space="0" w:color="auto"/>
            <w:bottom w:val="none" w:sz="0" w:space="0" w:color="auto"/>
            <w:right w:val="none" w:sz="0" w:space="0" w:color="auto"/>
          </w:divBdr>
        </w:div>
        <w:div w:id="643051048">
          <w:marLeft w:val="0"/>
          <w:marRight w:val="0"/>
          <w:marTop w:val="0"/>
          <w:marBottom w:val="0"/>
          <w:divBdr>
            <w:top w:val="none" w:sz="0" w:space="0" w:color="auto"/>
            <w:left w:val="none" w:sz="0" w:space="0" w:color="auto"/>
            <w:bottom w:val="none" w:sz="0" w:space="0" w:color="auto"/>
            <w:right w:val="none" w:sz="0" w:space="0" w:color="auto"/>
          </w:divBdr>
        </w:div>
      </w:divsChild>
    </w:div>
    <w:div w:id="940604762">
      <w:bodyDiv w:val="1"/>
      <w:marLeft w:val="0"/>
      <w:marRight w:val="0"/>
      <w:marTop w:val="0"/>
      <w:marBottom w:val="0"/>
      <w:divBdr>
        <w:top w:val="none" w:sz="0" w:space="0" w:color="auto"/>
        <w:left w:val="none" w:sz="0" w:space="0" w:color="auto"/>
        <w:bottom w:val="none" w:sz="0" w:space="0" w:color="auto"/>
        <w:right w:val="none" w:sz="0" w:space="0" w:color="auto"/>
      </w:divBdr>
    </w:div>
    <w:div w:id="1007486812">
      <w:bodyDiv w:val="1"/>
      <w:marLeft w:val="0"/>
      <w:marRight w:val="0"/>
      <w:marTop w:val="0"/>
      <w:marBottom w:val="0"/>
      <w:divBdr>
        <w:top w:val="none" w:sz="0" w:space="0" w:color="auto"/>
        <w:left w:val="none" w:sz="0" w:space="0" w:color="auto"/>
        <w:bottom w:val="none" w:sz="0" w:space="0" w:color="auto"/>
        <w:right w:val="none" w:sz="0" w:space="0" w:color="auto"/>
      </w:divBdr>
    </w:div>
    <w:div w:id="1058288018">
      <w:bodyDiv w:val="1"/>
      <w:marLeft w:val="0"/>
      <w:marRight w:val="0"/>
      <w:marTop w:val="0"/>
      <w:marBottom w:val="0"/>
      <w:divBdr>
        <w:top w:val="none" w:sz="0" w:space="0" w:color="auto"/>
        <w:left w:val="none" w:sz="0" w:space="0" w:color="auto"/>
        <w:bottom w:val="none" w:sz="0" w:space="0" w:color="auto"/>
        <w:right w:val="none" w:sz="0" w:space="0" w:color="auto"/>
      </w:divBdr>
    </w:div>
    <w:div w:id="1076171108">
      <w:bodyDiv w:val="1"/>
      <w:marLeft w:val="0"/>
      <w:marRight w:val="0"/>
      <w:marTop w:val="0"/>
      <w:marBottom w:val="0"/>
      <w:divBdr>
        <w:top w:val="none" w:sz="0" w:space="0" w:color="auto"/>
        <w:left w:val="none" w:sz="0" w:space="0" w:color="auto"/>
        <w:bottom w:val="none" w:sz="0" w:space="0" w:color="auto"/>
        <w:right w:val="none" w:sz="0" w:space="0" w:color="auto"/>
      </w:divBdr>
      <w:divsChild>
        <w:div w:id="2017681813">
          <w:marLeft w:val="562"/>
          <w:marRight w:val="0"/>
          <w:marTop w:val="115"/>
          <w:marBottom w:val="0"/>
          <w:divBdr>
            <w:top w:val="none" w:sz="0" w:space="0" w:color="auto"/>
            <w:left w:val="none" w:sz="0" w:space="0" w:color="auto"/>
            <w:bottom w:val="none" w:sz="0" w:space="0" w:color="auto"/>
            <w:right w:val="none" w:sz="0" w:space="0" w:color="auto"/>
          </w:divBdr>
        </w:div>
      </w:divsChild>
    </w:div>
    <w:div w:id="1078480239">
      <w:bodyDiv w:val="1"/>
      <w:marLeft w:val="0"/>
      <w:marRight w:val="0"/>
      <w:marTop w:val="0"/>
      <w:marBottom w:val="0"/>
      <w:divBdr>
        <w:top w:val="none" w:sz="0" w:space="0" w:color="auto"/>
        <w:left w:val="none" w:sz="0" w:space="0" w:color="auto"/>
        <w:bottom w:val="none" w:sz="0" w:space="0" w:color="auto"/>
        <w:right w:val="none" w:sz="0" w:space="0" w:color="auto"/>
      </w:divBdr>
    </w:div>
    <w:div w:id="1115832821">
      <w:bodyDiv w:val="1"/>
      <w:marLeft w:val="0"/>
      <w:marRight w:val="0"/>
      <w:marTop w:val="0"/>
      <w:marBottom w:val="0"/>
      <w:divBdr>
        <w:top w:val="none" w:sz="0" w:space="0" w:color="auto"/>
        <w:left w:val="none" w:sz="0" w:space="0" w:color="auto"/>
        <w:bottom w:val="none" w:sz="0" w:space="0" w:color="auto"/>
        <w:right w:val="none" w:sz="0" w:space="0" w:color="auto"/>
      </w:divBdr>
    </w:div>
    <w:div w:id="1169642290">
      <w:bodyDiv w:val="1"/>
      <w:marLeft w:val="0"/>
      <w:marRight w:val="0"/>
      <w:marTop w:val="0"/>
      <w:marBottom w:val="0"/>
      <w:divBdr>
        <w:top w:val="none" w:sz="0" w:space="0" w:color="auto"/>
        <w:left w:val="none" w:sz="0" w:space="0" w:color="auto"/>
        <w:bottom w:val="none" w:sz="0" w:space="0" w:color="auto"/>
        <w:right w:val="none" w:sz="0" w:space="0" w:color="auto"/>
      </w:divBdr>
      <w:divsChild>
        <w:div w:id="28266767">
          <w:marLeft w:val="0"/>
          <w:marRight w:val="0"/>
          <w:marTop w:val="0"/>
          <w:marBottom w:val="0"/>
          <w:divBdr>
            <w:top w:val="none" w:sz="0" w:space="0" w:color="auto"/>
            <w:left w:val="none" w:sz="0" w:space="0" w:color="auto"/>
            <w:bottom w:val="none" w:sz="0" w:space="0" w:color="auto"/>
            <w:right w:val="none" w:sz="0" w:space="0" w:color="auto"/>
          </w:divBdr>
        </w:div>
        <w:div w:id="479007176">
          <w:marLeft w:val="0"/>
          <w:marRight w:val="0"/>
          <w:marTop w:val="0"/>
          <w:marBottom w:val="0"/>
          <w:divBdr>
            <w:top w:val="none" w:sz="0" w:space="0" w:color="auto"/>
            <w:left w:val="none" w:sz="0" w:space="0" w:color="auto"/>
            <w:bottom w:val="none" w:sz="0" w:space="0" w:color="auto"/>
            <w:right w:val="none" w:sz="0" w:space="0" w:color="auto"/>
          </w:divBdr>
        </w:div>
        <w:div w:id="680399331">
          <w:marLeft w:val="0"/>
          <w:marRight w:val="0"/>
          <w:marTop w:val="0"/>
          <w:marBottom w:val="0"/>
          <w:divBdr>
            <w:top w:val="none" w:sz="0" w:space="0" w:color="auto"/>
            <w:left w:val="none" w:sz="0" w:space="0" w:color="auto"/>
            <w:bottom w:val="none" w:sz="0" w:space="0" w:color="auto"/>
            <w:right w:val="none" w:sz="0" w:space="0" w:color="auto"/>
          </w:divBdr>
        </w:div>
        <w:div w:id="935864709">
          <w:marLeft w:val="0"/>
          <w:marRight w:val="0"/>
          <w:marTop w:val="0"/>
          <w:marBottom w:val="0"/>
          <w:divBdr>
            <w:top w:val="none" w:sz="0" w:space="0" w:color="auto"/>
            <w:left w:val="none" w:sz="0" w:space="0" w:color="auto"/>
            <w:bottom w:val="none" w:sz="0" w:space="0" w:color="auto"/>
            <w:right w:val="none" w:sz="0" w:space="0" w:color="auto"/>
          </w:divBdr>
        </w:div>
        <w:div w:id="1230652596">
          <w:marLeft w:val="0"/>
          <w:marRight w:val="0"/>
          <w:marTop w:val="0"/>
          <w:marBottom w:val="0"/>
          <w:divBdr>
            <w:top w:val="none" w:sz="0" w:space="0" w:color="auto"/>
            <w:left w:val="none" w:sz="0" w:space="0" w:color="auto"/>
            <w:bottom w:val="none" w:sz="0" w:space="0" w:color="auto"/>
            <w:right w:val="none" w:sz="0" w:space="0" w:color="auto"/>
          </w:divBdr>
        </w:div>
        <w:div w:id="1316494233">
          <w:marLeft w:val="0"/>
          <w:marRight w:val="0"/>
          <w:marTop w:val="0"/>
          <w:marBottom w:val="0"/>
          <w:divBdr>
            <w:top w:val="none" w:sz="0" w:space="0" w:color="auto"/>
            <w:left w:val="none" w:sz="0" w:space="0" w:color="auto"/>
            <w:bottom w:val="none" w:sz="0" w:space="0" w:color="auto"/>
            <w:right w:val="none" w:sz="0" w:space="0" w:color="auto"/>
          </w:divBdr>
        </w:div>
        <w:div w:id="1557933240">
          <w:marLeft w:val="0"/>
          <w:marRight w:val="0"/>
          <w:marTop w:val="0"/>
          <w:marBottom w:val="0"/>
          <w:divBdr>
            <w:top w:val="none" w:sz="0" w:space="0" w:color="auto"/>
            <w:left w:val="none" w:sz="0" w:space="0" w:color="auto"/>
            <w:bottom w:val="none" w:sz="0" w:space="0" w:color="auto"/>
            <w:right w:val="none" w:sz="0" w:space="0" w:color="auto"/>
          </w:divBdr>
        </w:div>
        <w:div w:id="1584532971">
          <w:marLeft w:val="0"/>
          <w:marRight w:val="0"/>
          <w:marTop w:val="0"/>
          <w:marBottom w:val="0"/>
          <w:divBdr>
            <w:top w:val="none" w:sz="0" w:space="0" w:color="auto"/>
            <w:left w:val="none" w:sz="0" w:space="0" w:color="auto"/>
            <w:bottom w:val="none" w:sz="0" w:space="0" w:color="auto"/>
            <w:right w:val="none" w:sz="0" w:space="0" w:color="auto"/>
          </w:divBdr>
        </w:div>
        <w:div w:id="1944610028">
          <w:marLeft w:val="0"/>
          <w:marRight w:val="0"/>
          <w:marTop w:val="0"/>
          <w:marBottom w:val="0"/>
          <w:divBdr>
            <w:top w:val="none" w:sz="0" w:space="0" w:color="auto"/>
            <w:left w:val="none" w:sz="0" w:space="0" w:color="auto"/>
            <w:bottom w:val="none" w:sz="0" w:space="0" w:color="auto"/>
            <w:right w:val="none" w:sz="0" w:space="0" w:color="auto"/>
          </w:divBdr>
        </w:div>
        <w:div w:id="2109423283">
          <w:marLeft w:val="0"/>
          <w:marRight w:val="0"/>
          <w:marTop w:val="0"/>
          <w:marBottom w:val="0"/>
          <w:divBdr>
            <w:top w:val="none" w:sz="0" w:space="0" w:color="auto"/>
            <w:left w:val="none" w:sz="0" w:space="0" w:color="auto"/>
            <w:bottom w:val="none" w:sz="0" w:space="0" w:color="auto"/>
            <w:right w:val="none" w:sz="0" w:space="0" w:color="auto"/>
          </w:divBdr>
        </w:div>
      </w:divsChild>
    </w:div>
    <w:div w:id="1253658709">
      <w:bodyDiv w:val="1"/>
      <w:marLeft w:val="0"/>
      <w:marRight w:val="0"/>
      <w:marTop w:val="0"/>
      <w:marBottom w:val="0"/>
      <w:divBdr>
        <w:top w:val="none" w:sz="0" w:space="0" w:color="auto"/>
        <w:left w:val="none" w:sz="0" w:space="0" w:color="auto"/>
        <w:bottom w:val="none" w:sz="0" w:space="0" w:color="auto"/>
        <w:right w:val="none" w:sz="0" w:space="0" w:color="auto"/>
      </w:divBdr>
    </w:div>
    <w:div w:id="1283075816">
      <w:bodyDiv w:val="1"/>
      <w:marLeft w:val="0"/>
      <w:marRight w:val="0"/>
      <w:marTop w:val="0"/>
      <w:marBottom w:val="0"/>
      <w:divBdr>
        <w:top w:val="none" w:sz="0" w:space="0" w:color="auto"/>
        <w:left w:val="none" w:sz="0" w:space="0" w:color="auto"/>
        <w:bottom w:val="none" w:sz="0" w:space="0" w:color="auto"/>
        <w:right w:val="none" w:sz="0" w:space="0" w:color="auto"/>
      </w:divBdr>
      <w:divsChild>
        <w:div w:id="12272067">
          <w:marLeft w:val="0"/>
          <w:marRight w:val="0"/>
          <w:marTop w:val="0"/>
          <w:marBottom w:val="0"/>
          <w:divBdr>
            <w:top w:val="none" w:sz="0" w:space="0" w:color="auto"/>
            <w:left w:val="none" w:sz="0" w:space="0" w:color="auto"/>
            <w:bottom w:val="none" w:sz="0" w:space="0" w:color="auto"/>
            <w:right w:val="none" w:sz="0" w:space="0" w:color="auto"/>
          </w:divBdr>
        </w:div>
        <w:div w:id="33433355">
          <w:marLeft w:val="0"/>
          <w:marRight w:val="0"/>
          <w:marTop w:val="0"/>
          <w:marBottom w:val="0"/>
          <w:divBdr>
            <w:top w:val="none" w:sz="0" w:space="0" w:color="auto"/>
            <w:left w:val="none" w:sz="0" w:space="0" w:color="auto"/>
            <w:bottom w:val="none" w:sz="0" w:space="0" w:color="auto"/>
            <w:right w:val="none" w:sz="0" w:space="0" w:color="auto"/>
          </w:divBdr>
        </w:div>
        <w:div w:id="45642619">
          <w:marLeft w:val="0"/>
          <w:marRight w:val="0"/>
          <w:marTop w:val="0"/>
          <w:marBottom w:val="0"/>
          <w:divBdr>
            <w:top w:val="none" w:sz="0" w:space="0" w:color="auto"/>
            <w:left w:val="none" w:sz="0" w:space="0" w:color="auto"/>
            <w:bottom w:val="none" w:sz="0" w:space="0" w:color="auto"/>
            <w:right w:val="none" w:sz="0" w:space="0" w:color="auto"/>
          </w:divBdr>
        </w:div>
        <w:div w:id="49575315">
          <w:marLeft w:val="0"/>
          <w:marRight w:val="0"/>
          <w:marTop w:val="0"/>
          <w:marBottom w:val="0"/>
          <w:divBdr>
            <w:top w:val="none" w:sz="0" w:space="0" w:color="auto"/>
            <w:left w:val="none" w:sz="0" w:space="0" w:color="auto"/>
            <w:bottom w:val="none" w:sz="0" w:space="0" w:color="auto"/>
            <w:right w:val="none" w:sz="0" w:space="0" w:color="auto"/>
          </w:divBdr>
        </w:div>
        <w:div w:id="60179981">
          <w:marLeft w:val="0"/>
          <w:marRight w:val="0"/>
          <w:marTop w:val="0"/>
          <w:marBottom w:val="0"/>
          <w:divBdr>
            <w:top w:val="none" w:sz="0" w:space="0" w:color="auto"/>
            <w:left w:val="none" w:sz="0" w:space="0" w:color="auto"/>
            <w:bottom w:val="none" w:sz="0" w:space="0" w:color="auto"/>
            <w:right w:val="none" w:sz="0" w:space="0" w:color="auto"/>
          </w:divBdr>
        </w:div>
        <w:div w:id="75519410">
          <w:marLeft w:val="0"/>
          <w:marRight w:val="0"/>
          <w:marTop w:val="0"/>
          <w:marBottom w:val="0"/>
          <w:divBdr>
            <w:top w:val="none" w:sz="0" w:space="0" w:color="auto"/>
            <w:left w:val="none" w:sz="0" w:space="0" w:color="auto"/>
            <w:bottom w:val="none" w:sz="0" w:space="0" w:color="auto"/>
            <w:right w:val="none" w:sz="0" w:space="0" w:color="auto"/>
          </w:divBdr>
        </w:div>
        <w:div w:id="85543195">
          <w:marLeft w:val="0"/>
          <w:marRight w:val="0"/>
          <w:marTop w:val="0"/>
          <w:marBottom w:val="0"/>
          <w:divBdr>
            <w:top w:val="none" w:sz="0" w:space="0" w:color="auto"/>
            <w:left w:val="none" w:sz="0" w:space="0" w:color="auto"/>
            <w:bottom w:val="none" w:sz="0" w:space="0" w:color="auto"/>
            <w:right w:val="none" w:sz="0" w:space="0" w:color="auto"/>
          </w:divBdr>
        </w:div>
        <w:div w:id="89208138">
          <w:marLeft w:val="0"/>
          <w:marRight w:val="0"/>
          <w:marTop w:val="0"/>
          <w:marBottom w:val="0"/>
          <w:divBdr>
            <w:top w:val="none" w:sz="0" w:space="0" w:color="auto"/>
            <w:left w:val="none" w:sz="0" w:space="0" w:color="auto"/>
            <w:bottom w:val="none" w:sz="0" w:space="0" w:color="auto"/>
            <w:right w:val="none" w:sz="0" w:space="0" w:color="auto"/>
          </w:divBdr>
        </w:div>
        <w:div w:id="99449495">
          <w:marLeft w:val="0"/>
          <w:marRight w:val="0"/>
          <w:marTop w:val="0"/>
          <w:marBottom w:val="0"/>
          <w:divBdr>
            <w:top w:val="none" w:sz="0" w:space="0" w:color="auto"/>
            <w:left w:val="none" w:sz="0" w:space="0" w:color="auto"/>
            <w:bottom w:val="none" w:sz="0" w:space="0" w:color="auto"/>
            <w:right w:val="none" w:sz="0" w:space="0" w:color="auto"/>
          </w:divBdr>
        </w:div>
        <w:div w:id="100031352">
          <w:marLeft w:val="0"/>
          <w:marRight w:val="0"/>
          <w:marTop w:val="0"/>
          <w:marBottom w:val="0"/>
          <w:divBdr>
            <w:top w:val="none" w:sz="0" w:space="0" w:color="auto"/>
            <w:left w:val="none" w:sz="0" w:space="0" w:color="auto"/>
            <w:bottom w:val="none" w:sz="0" w:space="0" w:color="auto"/>
            <w:right w:val="none" w:sz="0" w:space="0" w:color="auto"/>
          </w:divBdr>
        </w:div>
        <w:div w:id="101843054">
          <w:marLeft w:val="0"/>
          <w:marRight w:val="0"/>
          <w:marTop w:val="0"/>
          <w:marBottom w:val="0"/>
          <w:divBdr>
            <w:top w:val="none" w:sz="0" w:space="0" w:color="auto"/>
            <w:left w:val="none" w:sz="0" w:space="0" w:color="auto"/>
            <w:bottom w:val="none" w:sz="0" w:space="0" w:color="auto"/>
            <w:right w:val="none" w:sz="0" w:space="0" w:color="auto"/>
          </w:divBdr>
        </w:div>
        <w:div w:id="104813914">
          <w:marLeft w:val="0"/>
          <w:marRight w:val="0"/>
          <w:marTop w:val="0"/>
          <w:marBottom w:val="0"/>
          <w:divBdr>
            <w:top w:val="none" w:sz="0" w:space="0" w:color="auto"/>
            <w:left w:val="none" w:sz="0" w:space="0" w:color="auto"/>
            <w:bottom w:val="none" w:sz="0" w:space="0" w:color="auto"/>
            <w:right w:val="none" w:sz="0" w:space="0" w:color="auto"/>
          </w:divBdr>
        </w:div>
        <w:div w:id="114375273">
          <w:marLeft w:val="0"/>
          <w:marRight w:val="0"/>
          <w:marTop w:val="0"/>
          <w:marBottom w:val="0"/>
          <w:divBdr>
            <w:top w:val="none" w:sz="0" w:space="0" w:color="auto"/>
            <w:left w:val="none" w:sz="0" w:space="0" w:color="auto"/>
            <w:bottom w:val="none" w:sz="0" w:space="0" w:color="auto"/>
            <w:right w:val="none" w:sz="0" w:space="0" w:color="auto"/>
          </w:divBdr>
        </w:div>
        <w:div w:id="121465929">
          <w:marLeft w:val="0"/>
          <w:marRight w:val="0"/>
          <w:marTop w:val="0"/>
          <w:marBottom w:val="0"/>
          <w:divBdr>
            <w:top w:val="none" w:sz="0" w:space="0" w:color="auto"/>
            <w:left w:val="none" w:sz="0" w:space="0" w:color="auto"/>
            <w:bottom w:val="none" w:sz="0" w:space="0" w:color="auto"/>
            <w:right w:val="none" w:sz="0" w:space="0" w:color="auto"/>
          </w:divBdr>
        </w:div>
        <w:div w:id="126630908">
          <w:marLeft w:val="0"/>
          <w:marRight w:val="0"/>
          <w:marTop w:val="0"/>
          <w:marBottom w:val="0"/>
          <w:divBdr>
            <w:top w:val="none" w:sz="0" w:space="0" w:color="auto"/>
            <w:left w:val="none" w:sz="0" w:space="0" w:color="auto"/>
            <w:bottom w:val="none" w:sz="0" w:space="0" w:color="auto"/>
            <w:right w:val="none" w:sz="0" w:space="0" w:color="auto"/>
          </w:divBdr>
        </w:div>
        <w:div w:id="135418426">
          <w:marLeft w:val="0"/>
          <w:marRight w:val="0"/>
          <w:marTop w:val="0"/>
          <w:marBottom w:val="0"/>
          <w:divBdr>
            <w:top w:val="none" w:sz="0" w:space="0" w:color="auto"/>
            <w:left w:val="none" w:sz="0" w:space="0" w:color="auto"/>
            <w:bottom w:val="none" w:sz="0" w:space="0" w:color="auto"/>
            <w:right w:val="none" w:sz="0" w:space="0" w:color="auto"/>
          </w:divBdr>
        </w:div>
        <w:div w:id="142625233">
          <w:marLeft w:val="0"/>
          <w:marRight w:val="0"/>
          <w:marTop w:val="0"/>
          <w:marBottom w:val="0"/>
          <w:divBdr>
            <w:top w:val="none" w:sz="0" w:space="0" w:color="auto"/>
            <w:left w:val="none" w:sz="0" w:space="0" w:color="auto"/>
            <w:bottom w:val="none" w:sz="0" w:space="0" w:color="auto"/>
            <w:right w:val="none" w:sz="0" w:space="0" w:color="auto"/>
          </w:divBdr>
        </w:div>
        <w:div w:id="152068429">
          <w:marLeft w:val="0"/>
          <w:marRight w:val="0"/>
          <w:marTop w:val="0"/>
          <w:marBottom w:val="0"/>
          <w:divBdr>
            <w:top w:val="none" w:sz="0" w:space="0" w:color="auto"/>
            <w:left w:val="none" w:sz="0" w:space="0" w:color="auto"/>
            <w:bottom w:val="none" w:sz="0" w:space="0" w:color="auto"/>
            <w:right w:val="none" w:sz="0" w:space="0" w:color="auto"/>
          </w:divBdr>
        </w:div>
        <w:div w:id="155728702">
          <w:marLeft w:val="0"/>
          <w:marRight w:val="0"/>
          <w:marTop w:val="0"/>
          <w:marBottom w:val="0"/>
          <w:divBdr>
            <w:top w:val="none" w:sz="0" w:space="0" w:color="auto"/>
            <w:left w:val="none" w:sz="0" w:space="0" w:color="auto"/>
            <w:bottom w:val="none" w:sz="0" w:space="0" w:color="auto"/>
            <w:right w:val="none" w:sz="0" w:space="0" w:color="auto"/>
          </w:divBdr>
        </w:div>
        <w:div w:id="175270029">
          <w:marLeft w:val="0"/>
          <w:marRight w:val="0"/>
          <w:marTop w:val="0"/>
          <w:marBottom w:val="0"/>
          <w:divBdr>
            <w:top w:val="none" w:sz="0" w:space="0" w:color="auto"/>
            <w:left w:val="none" w:sz="0" w:space="0" w:color="auto"/>
            <w:bottom w:val="none" w:sz="0" w:space="0" w:color="auto"/>
            <w:right w:val="none" w:sz="0" w:space="0" w:color="auto"/>
          </w:divBdr>
        </w:div>
        <w:div w:id="185094243">
          <w:marLeft w:val="0"/>
          <w:marRight w:val="0"/>
          <w:marTop w:val="0"/>
          <w:marBottom w:val="0"/>
          <w:divBdr>
            <w:top w:val="none" w:sz="0" w:space="0" w:color="auto"/>
            <w:left w:val="none" w:sz="0" w:space="0" w:color="auto"/>
            <w:bottom w:val="none" w:sz="0" w:space="0" w:color="auto"/>
            <w:right w:val="none" w:sz="0" w:space="0" w:color="auto"/>
          </w:divBdr>
        </w:div>
        <w:div w:id="185556814">
          <w:marLeft w:val="0"/>
          <w:marRight w:val="0"/>
          <w:marTop w:val="0"/>
          <w:marBottom w:val="0"/>
          <w:divBdr>
            <w:top w:val="none" w:sz="0" w:space="0" w:color="auto"/>
            <w:left w:val="none" w:sz="0" w:space="0" w:color="auto"/>
            <w:bottom w:val="none" w:sz="0" w:space="0" w:color="auto"/>
            <w:right w:val="none" w:sz="0" w:space="0" w:color="auto"/>
          </w:divBdr>
        </w:div>
        <w:div w:id="189031186">
          <w:marLeft w:val="0"/>
          <w:marRight w:val="0"/>
          <w:marTop w:val="0"/>
          <w:marBottom w:val="0"/>
          <w:divBdr>
            <w:top w:val="none" w:sz="0" w:space="0" w:color="auto"/>
            <w:left w:val="none" w:sz="0" w:space="0" w:color="auto"/>
            <w:bottom w:val="none" w:sz="0" w:space="0" w:color="auto"/>
            <w:right w:val="none" w:sz="0" w:space="0" w:color="auto"/>
          </w:divBdr>
        </w:div>
        <w:div w:id="192037550">
          <w:marLeft w:val="0"/>
          <w:marRight w:val="0"/>
          <w:marTop w:val="0"/>
          <w:marBottom w:val="0"/>
          <w:divBdr>
            <w:top w:val="none" w:sz="0" w:space="0" w:color="auto"/>
            <w:left w:val="none" w:sz="0" w:space="0" w:color="auto"/>
            <w:bottom w:val="none" w:sz="0" w:space="0" w:color="auto"/>
            <w:right w:val="none" w:sz="0" w:space="0" w:color="auto"/>
          </w:divBdr>
        </w:div>
        <w:div w:id="199318421">
          <w:marLeft w:val="0"/>
          <w:marRight w:val="0"/>
          <w:marTop w:val="0"/>
          <w:marBottom w:val="0"/>
          <w:divBdr>
            <w:top w:val="none" w:sz="0" w:space="0" w:color="auto"/>
            <w:left w:val="none" w:sz="0" w:space="0" w:color="auto"/>
            <w:bottom w:val="none" w:sz="0" w:space="0" w:color="auto"/>
            <w:right w:val="none" w:sz="0" w:space="0" w:color="auto"/>
          </w:divBdr>
        </w:div>
        <w:div w:id="200284612">
          <w:marLeft w:val="0"/>
          <w:marRight w:val="0"/>
          <w:marTop w:val="0"/>
          <w:marBottom w:val="0"/>
          <w:divBdr>
            <w:top w:val="none" w:sz="0" w:space="0" w:color="auto"/>
            <w:left w:val="none" w:sz="0" w:space="0" w:color="auto"/>
            <w:bottom w:val="none" w:sz="0" w:space="0" w:color="auto"/>
            <w:right w:val="none" w:sz="0" w:space="0" w:color="auto"/>
          </w:divBdr>
        </w:div>
        <w:div w:id="210772194">
          <w:marLeft w:val="0"/>
          <w:marRight w:val="0"/>
          <w:marTop w:val="0"/>
          <w:marBottom w:val="0"/>
          <w:divBdr>
            <w:top w:val="none" w:sz="0" w:space="0" w:color="auto"/>
            <w:left w:val="none" w:sz="0" w:space="0" w:color="auto"/>
            <w:bottom w:val="none" w:sz="0" w:space="0" w:color="auto"/>
            <w:right w:val="none" w:sz="0" w:space="0" w:color="auto"/>
          </w:divBdr>
        </w:div>
        <w:div w:id="224032911">
          <w:marLeft w:val="0"/>
          <w:marRight w:val="0"/>
          <w:marTop w:val="0"/>
          <w:marBottom w:val="0"/>
          <w:divBdr>
            <w:top w:val="none" w:sz="0" w:space="0" w:color="auto"/>
            <w:left w:val="none" w:sz="0" w:space="0" w:color="auto"/>
            <w:bottom w:val="none" w:sz="0" w:space="0" w:color="auto"/>
            <w:right w:val="none" w:sz="0" w:space="0" w:color="auto"/>
          </w:divBdr>
        </w:div>
        <w:div w:id="235896716">
          <w:marLeft w:val="0"/>
          <w:marRight w:val="0"/>
          <w:marTop w:val="0"/>
          <w:marBottom w:val="0"/>
          <w:divBdr>
            <w:top w:val="none" w:sz="0" w:space="0" w:color="auto"/>
            <w:left w:val="none" w:sz="0" w:space="0" w:color="auto"/>
            <w:bottom w:val="none" w:sz="0" w:space="0" w:color="auto"/>
            <w:right w:val="none" w:sz="0" w:space="0" w:color="auto"/>
          </w:divBdr>
        </w:div>
        <w:div w:id="241374362">
          <w:marLeft w:val="0"/>
          <w:marRight w:val="0"/>
          <w:marTop w:val="0"/>
          <w:marBottom w:val="0"/>
          <w:divBdr>
            <w:top w:val="none" w:sz="0" w:space="0" w:color="auto"/>
            <w:left w:val="none" w:sz="0" w:space="0" w:color="auto"/>
            <w:bottom w:val="none" w:sz="0" w:space="0" w:color="auto"/>
            <w:right w:val="none" w:sz="0" w:space="0" w:color="auto"/>
          </w:divBdr>
        </w:div>
        <w:div w:id="259342556">
          <w:marLeft w:val="0"/>
          <w:marRight w:val="0"/>
          <w:marTop w:val="0"/>
          <w:marBottom w:val="0"/>
          <w:divBdr>
            <w:top w:val="none" w:sz="0" w:space="0" w:color="auto"/>
            <w:left w:val="none" w:sz="0" w:space="0" w:color="auto"/>
            <w:bottom w:val="none" w:sz="0" w:space="0" w:color="auto"/>
            <w:right w:val="none" w:sz="0" w:space="0" w:color="auto"/>
          </w:divBdr>
        </w:div>
        <w:div w:id="276178816">
          <w:marLeft w:val="0"/>
          <w:marRight w:val="0"/>
          <w:marTop w:val="0"/>
          <w:marBottom w:val="0"/>
          <w:divBdr>
            <w:top w:val="none" w:sz="0" w:space="0" w:color="auto"/>
            <w:left w:val="none" w:sz="0" w:space="0" w:color="auto"/>
            <w:bottom w:val="none" w:sz="0" w:space="0" w:color="auto"/>
            <w:right w:val="none" w:sz="0" w:space="0" w:color="auto"/>
          </w:divBdr>
        </w:div>
        <w:div w:id="300768297">
          <w:marLeft w:val="0"/>
          <w:marRight w:val="0"/>
          <w:marTop w:val="0"/>
          <w:marBottom w:val="0"/>
          <w:divBdr>
            <w:top w:val="none" w:sz="0" w:space="0" w:color="auto"/>
            <w:left w:val="none" w:sz="0" w:space="0" w:color="auto"/>
            <w:bottom w:val="none" w:sz="0" w:space="0" w:color="auto"/>
            <w:right w:val="none" w:sz="0" w:space="0" w:color="auto"/>
          </w:divBdr>
        </w:div>
        <w:div w:id="307058756">
          <w:marLeft w:val="0"/>
          <w:marRight w:val="0"/>
          <w:marTop w:val="0"/>
          <w:marBottom w:val="0"/>
          <w:divBdr>
            <w:top w:val="none" w:sz="0" w:space="0" w:color="auto"/>
            <w:left w:val="none" w:sz="0" w:space="0" w:color="auto"/>
            <w:bottom w:val="none" w:sz="0" w:space="0" w:color="auto"/>
            <w:right w:val="none" w:sz="0" w:space="0" w:color="auto"/>
          </w:divBdr>
        </w:div>
        <w:div w:id="313414212">
          <w:marLeft w:val="0"/>
          <w:marRight w:val="0"/>
          <w:marTop w:val="0"/>
          <w:marBottom w:val="0"/>
          <w:divBdr>
            <w:top w:val="none" w:sz="0" w:space="0" w:color="auto"/>
            <w:left w:val="none" w:sz="0" w:space="0" w:color="auto"/>
            <w:bottom w:val="none" w:sz="0" w:space="0" w:color="auto"/>
            <w:right w:val="none" w:sz="0" w:space="0" w:color="auto"/>
          </w:divBdr>
        </w:div>
        <w:div w:id="318970274">
          <w:marLeft w:val="0"/>
          <w:marRight w:val="0"/>
          <w:marTop w:val="0"/>
          <w:marBottom w:val="0"/>
          <w:divBdr>
            <w:top w:val="none" w:sz="0" w:space="0" w:color="auto"/>
            <w:left w:val="none" w:sz="0" w:space="0" w:color="auto"/>
            <w:bottom w:val="none" w:sz="0" w:space="0" w:color="auto"/>
            <w:right w:val="none" w:sz="0" w:space="0" w:color="auto"/>
          </w:divBdr>
        </w:div>
        <w:div w:id="319163727">
          <w:marLeft w:val="0"/>
          <w:marRight w:val="0"/>
          <w:marTop w:val="0"/>
          <w:marBottom w:val="0"/>
          <w:divBdr>
            <w:top w:val="none" w:sz="0" w:space="0" w:color="auto"/>
            <w:left w:val="none" w:sz="0" w:space="0" w:color="auto"/>
            <w:bottom w:val="none" w:sz="0" w:space="0" w:color="auto"/>
            <w:right w:val="none" w:sz="0" w:space="0" w:color="auto"/>
          </w:divBdr>
        </w:div>
        <w:div w:id="327711266">
          <w:marLeft w:val="0"/>
          <w:marRight w:val="0"/>
          <w:marTop w:val="0"/>
          <w:marBottom w:val="0"/>
          <w:divBdr>
            <w:top w:val="none" w:sz="0" w:space="0" w:color="auto"/>
            <w:left w:val="none" w:sz="0" w:space="0" w:color="auto"/>
            <w:bottom w:val="none" w:sz="0" w:space="0" w:color="auto"/>
            <w:right w:val="none" w:sz="0" w:space="0" w:color="auto"/>
          </w:divBdr>
        </w:div>
        <w:div w:id="347022537">
          <w:marLeft w:val="0"/>
          <w:marRight w:val="0"/>
          <w:marTop w:val="0"/>
          <w:marBottom w:val="0"/>
          <w:divBdr>
            <w:top w:val="none" w:sz="0" w:space="0" w:color="auto"/>
            <w:left w:val="none" w:sz="0" w:space="0" w:color="auto"/>
            <w:bottom w:val="none" w:sz="0" w:space="0" w:color="auto"/>
            <w:right w:val="none" w:sz="0" w:space="0" w:color="auto"/>
          </w:divBdr>
        </w:div>
        <w:div w:id="350421516">
          <w:marLeft w:val="0"/>
          <w:marRight w:val="0"/>
          <w:marTop w:val="0"/>
          <w:marBottom w:val="0"/>
          <w:divBdr>
            <w:top w:val="none" w:sz="0" w:space="0" w:color="auto"/>
            <w:left w:val="none" w:sz="0" w:space="0" w:color="auto"/>
            <w:bottom w:val="none" w:sz="0" w:space="0" w:color="auto"/>
            <w:right w:val="none" w:sz="0" w:space="0" w:color="auto"/>
          </w:divBdr>
        </w:div>
        <w:div w:id="363940651">
          <w:marLeft w:val="0"/>
          <w:marRight w:val="0"/>
          <w:marTop w:val="0"/>
          <w:marBottom w:val="0"/>
          <w:divBdr>
            <w:top w:val="none" w:sz="0" w:space="0" w:color="auto"/>
            <w:left w:val="none" w:sz="0" w:space="0" w:color="auto"/>
            <w:bottom w:val="none" w:sz="0" w:space="0" w:color="auto"/>
            <w:right w:val="none" w:sz="0" w:space="0" w:color="auto"/>
          </w:divBdr>
        </w:div>
        <w:div w:id="366875885">
          <w:marLeft w:val="0"/>
          <w:marRight w:val="0"/>
          <w:marTop w:val="0"/>
          <w:marBottom w:val="0"/>
          <w:divBdr>
            <w:top w:val="none" w:sz="0" w:space="0" w:color="auto"/>
            <w:left w:val="none" w:sz="0" w:space="0" w:color="auto"/>
            <w:bottom w:val="none" w:sz="0" w:space="0" w:color="auto"/>
            <w:right w:val="none" w:sz="0" w:space="0" w:color="auto"/>
          </w:divBdr>
        </w:div>
        <w:div w:id="368647381">
          <w:marLeft w:val="0"/>
          <w:marRight w:val="0"/>
          <w:marTop w:val="0"/>
          <w:marBottom w:val="0"/>
          <w:divBdr>
            <w:top w:val="none" w:sz="0" w:space="0" w:color="auto"/>
            <w:left w:val="none" w:sz="0" w:space="0" w:color="auto"/>
            <w:bottom w:val="none" w:sz="0" w:space="0" w:color="auto"/>
            <w:right w:val="none" w:sz="0" w:space="0" w:color="auto"/>
          </w:divBdr>
        </w:div>
        <w:div w:id="371418479">
          <w:marLeft w:val="0"/>
          <w:marRight w:val="0"/>
          <w:marTop w:val="0"/>
          <w:marBottom w:val="0"/>
          <w:divBdr>
            <w:top w:val="none" w:sz="0" w:space="0" w:color="auto"/>
            <w:left w:val="none" w:sz="0" w:space="0" w:color="auto"/>
            <w:bottom w:val="none" w:sz="0" w:space="0" w:color="auto"/>
            <w:right w:val="none" w:sz="0" w:space="0" w:color="auto"/>
          </w:divBdr>
        </w:div>
        <w:div w:id="397482041">
          <w:marLeft w:val="0"/>
          <w:marRight w:val="0"/>
          <w:marTop w:val="0"/>
          <w:marBottom w:val="0"/>
          <w:divBdr>
            <w:top w:val="none" w:sz="0" w:space="0" w:color="auto"/>
            <w:left w:val="none" w:sz="0" w:space="0" w:color="auto"/>
            <w:bottom w:val="none" w:sz="0" w:space="0" w:color="auto"/>
            <w:right w:val="none" w:sz="0" w:space="0" w:color="auto"/>
          </w:divBdr>
        </w:div>
        <w:div w:id="405879240">
          <w:marLeft w:val="0"/>
          <w:marRight w:val="0"/>
          <w:marTop w:val="0"/>
          <w:marBottom w:val="0"/>
          <w:divBdr>
            <w:top w:val="none" w:sz="0" w:space="0" w:color="auto"/>
            <w:left w:val="none" w:sz="0" w:space="0" w:color="auto"/>
            <w:bottom w:val="none" w:sz="0" w:space="0" w:color="auto"/>
            <w:right w:val="none" w:sz="0" w:space="0" w:color="auto"/>
          </w:divBdr>
        </w:div>
        <w:div w:id="411049172">
          <w:marLeft w:val="0"/>
          <w:marRight w:val="0"/>
          <w:marTop w:val="0"/>
          <w:marBottom w:val="0"/>
          <w:divBdr>
            <w:top w:val="none" w:sz="0" w:space="0" w:color="auto"/>
            <w:left w:val="none" w:sz="0" w:space="0" w:color="auto"/>
            <w:bottom w:val="none" w:sz="0" w:space="0" w:color="auto"/>
            <w:right w:val="none" w:sz="0" w:space="0" w:color="auto"/>
          </w:divBdr>
        </w:div>
        <w:div w:id="418719327">
          <w:marLeft w:val="0"/>
          <w:marRight w:val="0"/>
          <w:marTop w:val="0"/>
          <w:marBottom w:val="0"/>
          <w:divBdr>
            <w:top w:val="none" w:sz="0" w:space="0" w:color="auto"/>
            <w:left w:val="none" w:sz="0" w:space="0" w:color="auto"/>
            <w:bottom w:val="none" w:sz="0" w:space="0" w:color="auto"/>
            <w:right w:val="none" w:sz="0" w:space="0" w:color="auto"/>
          </w:divBdr>
        </w:div>
        <w:div w:id="443690891">
          <w:marLeft w:val="0"/>
          <w:marRight w:val="0"/>
          <w:marTop w:val="0"/>
          <w:marBottom w:val="0"/>
          <w:divBdr>
            <w:top w:val="none" w:sz="0" w:space="0" w:color="auto"/>
            <w:left w:val="none" w:sz="0" w:space="0" w:color="auto"/>
            <w:bottom w:val="none" w:sz="0" w:space="0" w:color="auto"/>
            <w:right w:val="none" w:sz="0" w:space="0" w:color="auto"/>
          </w:divBdr>
        </w:div>
        <w:div w:id="457995709">
          <w:marLeft w:val="0"/>
          <w:marRight w:val="0"/>
          <w:marTop w:val="0"/>
          <w:marBottom w:val="0"/>
          <w:divBdr>
            <w:top w:val="none" w:sz="0" w:space="0" w:color="auto"/>
            <w:left w:val="none" w:sz="0" w:space="0" w:color="auto"/>
            <w:bottom w:val="none" w:sz="0" w:space="0" w:color="auto"/>
            <w:right w:val="none" w:sz="0" w:space="0" w:color="auto"/>
          </w:divBdr>
        </w:div>
        <w:div w:id="467750323">
          <w:marLeft w:val="0"/>
          <w:marRight w:val="0"/>
          <w:marTop w:val="0"/>
          <w:marBottom w:val="0"/>
          <w:divBdr>
            <w:top w:val="none" w:sz="0" w:space="0" w:color="auto"/>
            <w:left w:val="none" w:sz="0" w:space="0" w:color="auto"/>
            <w:bottom w:val="none" w:sz="0" w:space="0" w:color="auto"/>
            <w:right w:val="none" w:sz="0" w:space="0" w:color="auto"/>
          </w:divBdr>
        </w:div>
        <w:div w:id="484975791">
          <w:marLeft w:val="0"/>
          <w:marRight w:val="0"/>
          <w:marTop w:val="0"/>
          <w:marBottom w:val="0"/>
          <w:divBdr>
            <w:top w:val="none" w:sz="0" w:space="0" w:color="auto"/>
            <w:left w:val="none" w:sz="0" w:space="0" w:color="auto"/>
            <w:bottom w:val="none" w:sz="0" w:space="0" w:color="auto"/>
            <w:right w:val="none" w:sz="0" w:space="0" w:color="auto"/>
          </w:divBdr>
        </w:div>
        <w:div w:id="486167366">
          <w:marLeft w:val="0"/>
          <w:marRight w:val="0"/>
          <w:marTop w:val="0"/>
          <w:marBottom w:val="0"/>
          <w:divBdr>
            <w:top w:val="none" w:sz="0" w:space="0" w:color="auto"/>
            <w:left w:val="none" w:sz="0" w:space="0" w:color="auto"/>
            <w:bottom w:val="none" w:sz="0" w:space="0" w:color="auto"/>
            <w:right w:val="none" w:sz="0" w:space="0" w:color="auto"/>
          </w:divBdr>
        </w:div>
        <w:div w:id="495727426">
          <w:marLeft w:val="0"/>
          <w:marRight w:val="0"/>
          <w:marTop w:val="0"/>
          <w:marBottom w:val="0"/>
          <w:divBdr>
            <w:top w:val="none" w:sz="0" w:space="0" w:color="auto"/>
            <w:left w:val="none" w:sz="0" w:space="0" w:color="auto"/>
            <w:bottom w:val="none" w:sz="0" w:space="0" w:color="auto"/>
            <w:right w:val="none" w:sz="0" w:space="0" w:color="auto"/>
          </w:divBdr>
        </w:div>
        <w:div w:id="497891530">
          <w:marLeft w:val="0"/>
          <w:marRight w:val="0"/>
          <w:marTop w:val="0"/>
          <w:marBottom w:val="0"/>
          <w:divBdr>
            <w:top w:val="none" w:sz="0" w:space="0" w:color="auto"/>
            <w:left w:val="none" w:sz="0" w:space="0" w:color="auto"/>
            <w:bottom w:val="none" w:sz="0" w:space="0" w:color="auto"/>
            <w:right w:val="none" w:sz="0" w:space="0" w:color="auto"/>
          </w:divBdr>
        </w:div>
        <w:div w:id="498232126">
          <w:marLeft w:val="0"/>
          <w:marRight w:val="0"/>
          <w:marTop w:val="0"/>
          <w:marBottom w:val="0"/>
          <w:divBdr>
            <w:top w:val="none" w:sz="0" w:space="0" w:color="auto"/>
            <w:left w:val="none" w:sz="0" w:space="0" w:color="auto"/>
            <w:bottom w:val="none" w:sz="0" w:space="0" w:color="auto"/>
            <w:right w:val="none" w:sz="0" w:space="0" w:color="auto"/>
          </w:divBdr>
        </w:div>
        <w:div w:id="506750596">
          <w:marLeft w:val="0"/>
          <w:marRight w:val="0"/>
          <w:marTop w:val="0"/>
          <w:marBottom w:val="0"/>
          <w:divBdr>
            <w:top w:val="none" w:sz="0" w:space="0" w:color="auto"/>
            <w:left w:val="none" w:sz="0" w:space="0" w:color="auto"/>
            <w:bottom w:val="none" w:sz="0" w:space="0" w:color="auto"/>
            <w:right w:val="none" w:sz="0" w:space="0" w:color="auto"/>
          </w:divBdr>
        </w:div>
        <w:div w:id="507135050">
          <w:marLeft w:val="0"/>
          <w:marRight w:val="0"/>
          <w:marTop w:val="0"/>
          <w:marBottom w:val="0"/>
          <w:divBdr>
            <w:top w:val="none" w:sz="0" w:space="0" w:color="auto"/>
            <w:left w:val="none" w:sz="0" w:space="0" w:color="auto"/>
            <w:bottom w:val="none" w:sz="0" w:space="0" w:color="auto"/>
            <w:right w:val="none" w:sz="0" w:space="0" w:color="auto"/>
          </w:divBdr>
        </w:div>
        <w:div w:id="512839135">
          <w:marLeft w:val="0"/>
          <w:marRight w:val="0"/>
          <w:marTop w:val="0"/>
          <w:marBottom w:val="0"/>
          <w:divBdr>
            <w:top w:val="none" w:sz="0" w:space="0" w:color="auto"/>
            <w:left w:val="none" w:sz="0" w:space="0" w:color="auto"/>
            <w:bottom w:val="none" w:sz="0" w:space="0" w:color="auto"/>
            <w:right w:val="none" w:sz="0" w:space="0" w:color="auto"/>
          </w:divBdr>
        </w:div>
        <w:div w:id="547303978">
          <w:marLeft w:val="0"/>
          <w:marRight w:val="0"/>
          <w:marTop w:val="0"/>
          <w:marBottom w:val="0"/>
          <w:divBdr>
            <w:top w:val="none" w:sz="0" w:space="0" w:color="auto"/>
            <w:left w:val="none" w:sz="0" w:space="0" w:color="auto"/>
            <w:bottom w:val="none" w:sz="0" w:space="0" w:color="auto"/>
            <w:right w:val="none" w:sz="0" w:space="0" w:color="auto"/>
          </w:divBdr>
        </w:div>
        <w:div w:id="550191817">
          <w:marLeft w:val="0"/>
          <w:marRight w:val="0"/>
          <w:marTop w:val="0"/>
          <w:marBottom w:val="0"/>
          <w:divBdr>
            <w:top w:val="none" w:sz="0" w:space="0" w:color="auto"/>
            <w:left w:val="none" w:sz="0" w:space="0" w:color="auto"/>
            <w:bottom w:val="none" w:sz="0" w:space="0" w:color="auto"/>
            <w:right w:val="none" w:sz="0" w:space="0" w:color="auto"/>
          </w:divBdr>
        </w:div>
        <w:div w:id="583489822">
          <w:marLeft w:val="0"/>
          <w:marRight w:val="0"/>
          <w:marTop w:val="0"/>
          <w:marBottom w:val="0"/>
          <w:divBdr>
            <w:top w:val="none" w:sz="0" w:space="0" w:color="auto"/>
            <w:left w:val="none" w:sz="0" w:space="0" w:color="auto"/>
            <w:bottom w:val="none" w:sz="0" w:space="0" w:color="auto"/>
            <w:right w:val="none" w:sz="0" w:space="0" w:color="auto"/>
          </w:divBdr>
        </w:div>
        <w:div w:id="602346727">
          <w:marLeft w:val="0"/>
          <w:marRight w:val="0"/>
          <w:marTop w:val="0"/>
          <w:marBottom w:val="0"/>
          <w:divBdr>
            <w:top w:val="none" w:sz="0" w:space="0" w:color="auto"/>
            <w:left w:val="none" w:sz="0" w:space="0" w:color="auto"/>
            <w:bottom w:val="none" w:sz="0" w:space="0" w:color="auto"/>
            <w:right w:val="none" w:sz="0" w:space="0" w:color="auto"/>
          </w:divBdr>
        </w:div>
        <w:div w:id="623118416">
          <w:marLeft w:val="0"/>
          <w:marRight w:val="0"/>
          <w:marTop w:val="0"/>
          <w:marBottom w:val="0"/>
          <w:divBdr>
            <w:top w:val="none" w:sz="0" w:space="0" w:color="auto"/>
            <w:left w:val="none" w:sz="0" w:space="0" w:color="auto"/>
            <w:bottom w:val="none" w:sz="0" w:space="0" w:color="auto"/>
            <w:right w:val="none" w:sz="0" w:space="0" w:color="auto"/>
          </w:divBdr>
        </w:div>
        <w:div w:id="623390987">
          <w:marLeft w:val="0"/>
          <w:marRight w:val="0"/>
          <w:marTop w:val="0"/>
          <w:marBottom w:val="0"/>
          <w:divBdr>
            <w:top w:val="none" w:sz="0" w:space="0" w:color="auto"/>
            <w:left w:val="none" w:sz="0" w:space="0" w:color="auto"/>
            <w:bottom w:val="none" w:sz="0" w:space="0" w:color="auto"/>
            <w:right w:val="none" w:sz="0" w:space="0" w:color="auto"/>
          </w:divBdr>
        </w:div>
        <w:div w:id="632491948">
          <w:marLeft w:val="0"/>
          <w:marRight w:val="0"/>
          <w:marTop w:val="0"/>
          <w:marBottom w:val="0"/>
          <w:divBdr>
            <w:top w:val="none" w:sz="0" w:space="0" w:color="auto"/>
            <w:left w:val="none" w:sz="0" w:space="0" w:color="auto"/>
            <w:bottom w:val="none" w:sz="0" w:space="0" w:color="auto"/>
            <w:right w:val="none" w:sz="0" w:space="0" w:color="auto"/>
          </w:divBdr>
        </w:div>
        <w:div w:id="641469792">
          <w:marLeft w:val="0"/>
          <w:marRight w:val="0"/>
          <w:marTop w:val="0"/>
          <w:marBottom w:val="0"/>
          <w:divBdr>
            <w:top w:val="none" w:sz="0" w:space="0" w:color="auto"/>
            <w:left w:val="none" w:sz="0" w:space="0" w:color="auto"/>
            <w:bottom w:val="none" w:sz="0" w:space="0" w:color="auto"/>
            <w:right w:val="none" w:sz="0" w:space="0" w:color="auto"/>
          </w:divBdr>
        </w:div>
        <w:div w:id="645399180">
          <w:marLeft w:val="0"/>
          <w:marRight w:val="0"/>
          <w:marTop w:val="0"/>
          <w:marBottom w:val="0"/>
          <w:divBdr>
            <w:top w:val="none" w:sz="0" w:space="0" w:color="auto"/>
            <w:left w:val="none" w:sz="0" w:space="0" w:color="auto"/>
            <w:bottom w:val="none" w:sz="0" w:space="0" w:color="auto"/>
            <w:right w:val="none" w:sz="0" w:space="0" w:color="auto"/>
          </w:divBdr>
        </w:div>
        <w:div w:id="658658459">
          <w:marLeft w:val="0"/>
          <w:marRight w:val="0"/>
          <w:marTop w:val="0"/>
          <w:marBottom w:val="0"/>
          <w:divBdr>
            <w:top w:val="none" w:sz="0" w:space="0" w:color="auto"/>
            <w:left w:val="none" w:sz="0" w:space="0" w:color="auto"/>
            <w:bottom w:val="none" w:sz="0" w:space="0" w:color="auto"/>
            <w:right w:val="none" w:sz="0" w:space="0" w:color="auto"/>
          </w:divBdr>
        </w:div>
        <w:div w:id="673924030">
          <w:marLeft w:val="0"/>
          <w:marRight w:val="0"/>
          <w:marTop w:val="0"/>
          <w:marBottom w:val="0"/>
          <w:divBdr>
            <w:top w:val="none" w:sz="0" w:space="0" w:color="auto"/>
            <w:left w:val="none" w:sz="0" w:space="0" w:color="auto"/>
            <w:bottom w:val="none" w:sz="0" w:space="0" w:color="auto"/>
            <w:right w:val="none" w:sz="0" w:space="0" w:color="auto"/>
          </w:divBdr>
        </w:div>
        <w:div w:id="676004635">
          <w:marLeft w:val="0"/>
          <w:marRight w:val="0"/>
          <w:marTop w:val="0"/>
          <w:marBottom w:val="0"/>
          <w:divBdr>
            <w:top w:val="none" w:sz="0" w:space="0" w:color="auto"/>
            <w:left w:val="none" w:sz="0" w:space="0" w:color="auto"/>
            <w:bottom w:val="none" w:sz="0" w:space="0" w:color="auto"/>
            <w:right w:val="none" w:sz="0" w:space="0" w:color="auto"/>
          </w:divBdr>
        </w:div>
        <w:div w:id="676082769">
          <w:marLeft w:val="0"/>
          <w:marRight w:val="0"/>
          <w:marTop w:val="0"/>
          <w:marBottom w:val="0"/>
          <w:divBdr>
            <w:top w:val="none" w:sz="0" w:space="0" w:color="auto"/>
            <w:left w:val="none" w:sz="0" w:space="0" w:color="auto"/>
            <w:bottom w:val="none" w:sz="0" w:space="0" w:color="auto"/>
            <w:right w:val="none" w:sz="0" w:space="0" w:color="auto"/>
          </w:divBdr>
        </w:div>
        <w:div w:id="698555844">
          <w:marLeft w:val="0"/>
          <w:marRight w:val="0"/>
          <w:marTop w:val="0"/>
          <w:marBottom w:val="0"/>
          <w:divBdr>
            <w:top w:val="none" w:sz="0" w:space="0" w:color="auto"/>
            <w:left w:val="none" w:sz="0" w:space="0" w:color="auto"/>
            <w:bottom w:val="none" w:sz="0" w:space="0" w:color="auto"/>
            <w:right w:val="none" w:sz="0" w:space="0" w:color="auto"/>
          </w:divBdr>
        </w:div>
        <w:div w:id="711079214">
          <w:marLeft w:val="0"/>
          <w:marRight w:val="0"/>
          <w:marTop w:val="0"/>
          <w:marBottom w:val="0"/>
          <w:divBdr>
            <w:top w:val="none" w:sz="0" w:space="0" w:color="auto"/>
            <w:left w:val="none" w:sz="0" w:space="0" w:color="auto"/>
            <w:bottom w:val="none" w:sz="0" w:space="0" w:color="auto"/>
            <w:right w:val="none" w:sz="0" w:space="0" w:color="auto"/>
          </w:divBdr>
        </w:div>
        <w:div w:id="715086859">
          <w:marLeft w:val="0"/>
          <w:marRight w:val="0"/>
          <w:marTop w:val="0"/>
          <w:marBottom w:val="0"/>
          <w:divBdr>
            <w:top w:val="none" w:sz="0" w:space="0" w:color="auto"/>
            <w:left w:val="none" w:sz="0" w:space="0" w:color="auto"/>
            <w:bottom w:val="none" w:sz="0" w:space="0" w:color="auto"/>
            <w:right w:val="none" w:sz="0" w:space="0" w:color="auto"/>
          </w:divBdr>
        </w:div>
        <w:div w:id="728959760">
          <w:marLeft w:val="0"/>
          <w:marRight w:val="0"/>
          <w:marTop w:val="0"/>
          <w:marBottom w:val="0"/>
          <w:divBdr>
            <w:top w:val="none" w:sz="0" w:space="0" w:color="auto"/>
            <w:left w:val="none" w:sz="0" w:space="0" w:color="auto"/>
            <w:bottom w:val="none" w:sz="0" w:space="0" w:color="auto"/>
            <w:right w:val="none" w:sz="0" w:space="0" w:color="auto"/>
          </w:divBdr>
        </w:div>
        <w:div w:id="737093207">
          <w:marLeft w:val="0"/>
          <w:marRight w:val="0"/>
          <w:marTop w:val="0"/>
          <w:marBottom w:val="0"/>
          <w:divBdr>
            <w:top w:val="none" w:sz="0" w:space="0" w:color="auto"/>
            <w:left w:val="none" w:sz="0" w:space="0" w:color="auto"/>
            <w:bottom w:val="none" w:sz="0" w:space="0" w:color="auto"/>
            <w:right w:val="none" w:sz="0" w:space="0" w:color="auto"/>
          </w:divBdr>
        </w:div>
        <w:div w:id="759109537">
          <w:marLeft w:val="0"/>
          <w:marRight w:val="0"/>
          <w:marTop w:val="0"/>
          <w:marBottom w:val="0"/>
          <w:divBdr>
            <w:top w:val="none" w:sz="0" w:space="0" w:color="auto"/>
            <w:left w:val="none" w:sz="0" w:space="0" w:color="auto"/>
            <w:bottom w:val="none" w:sz="0" w:space="0" w:color="auto"/>
            <w:right w:val="none" w:sz="0" w:space="0" w:color="auto"/>
          </w:divBdr>
        </w:div>
        <w:div w:id="771390812">
          <w:marLeft w:val="0"/>
          <w:marRight w:val="0"/>
          <w:marTop w:val="0"/>
          <w:marBottom w:val="0"/>
          <w:divBdr>
            <w:top w:val="none" w:sz="0" w:space="0" w:color="auto"/>
            <w:left w:val="none" w:sz="0" w:space="0" w:color="auto"/>
            <w:bottom w:val="none" w:sz="0" w:space="0" w:color="auto"/>
            <w:right w:val="none" w:sz="0" w:space="0" w:color="auto"/>
          </w:divBdr>
        </w:div>
        <w:div w:id="772940888">
          <w:marLeft w:val="0"/>
          <w:marRight w:val="0"/>
          <w:marTop w:val="0"/>
          <w:marBottom w:val="0"/>
          <w:divBdr>
            <w:top w:val="none" w:sz="0" w:space="0" w:color="auto"/>
            <w:left w:val="none" w:sz="0" w:space="0" w:color="auto"/>
            <w:bottom w:val="none" w:sz="0" w:space="0" w:color="auto"/>
            <w:right w:val="none" w:sz="0" w:space="0" w:color="auto"/>
          </w:divBdr>
        </w:div>
        <w:div w:id="818689240">
          <w:marLeft w:val="0"/>
          <w:marRight w:val="0"/>
          <w:marTop w:val="0"/>
          <w:marBottom w:val="0"/>
          <w:divBdr>
            <w:top w:val="none" w:sz="0" w:space="0" w:color="auto"/>
            <w:left w:val="none" w:sz="0" w:space="0" w:color="auto"/>
            <w:bottom w:val="none" w:sz="0" w:space="0" w:color="auto"/>
            <w:right w:val="none" w:sz="0" w:space="0" w:color="auto"/>
          </w:divBdr>
        </w:div>
        <w:div w:id="821652566">
          <w:marLeft w:val="0"/>
          <w:marRight w:val="0"/>
          <w:marTop w:val="0"/>
          <w:marBottom w:val="0"/>
          <w:divBdr>
            <w:top w:val="none" w:sz="0" w:space="0" w:color="auto"/>
            <w:left w:val="none" w:sz="0" w:space="0" w:color="auto"/>
            <w:bottom w:val="none" w:sz="0" w:space="0" w:color="auto"/>
            <w:right w:val="none" w:sz="0" w:space="0" w:color="auto"/>
          </w:divBdr>
        </w:div>
        <w:div w:id="829365873">
          <w:marLeft w:val="0"/>
          <w:marRight w:val="0"/>
          <w:marTop w:val="0"/>
          <w:marBottom w:val="0"/>
          <w:divBdr>
            <w:top w:val="none" w:sz="0" w:space="0" w:color="auto"/>
            <w:left w:val="none" w:sz="0" w:space="0" w:color="auto"/>
            <w:bottom w:val="none" w:sz="0" w:space="0" w:color="auto"/>
            <w:right w:val="none" w:sz="0" w:space="0" w:color="auto"/>
          </w:divBdr>
        </w:div>
        <w:div w:id="835654456">
          <w:marLeft w:val="0"/>
          <w:marRight w:val="0"/>
          <w:marTop w:val="0"/>
          <w:marBottom w:val="0"/>
          <w:divBdr>
            <w:top w:val="none" w:sz="0" w:space="0" w:color="auto"/>
            <w:left w:val="none" w:sz="0" w:space="0" w:color="auto"/>
            <w:bottom w:val="none" w:sz="0" w:space="0" w:color="auto"/>
            <w:right w:val="none" w:sz="0" w:space="0" w:color="auto"/>
          </w:divBdr>
        </w:div>
        <w:div w:id="844438771">
          <w:marLeft w:val="0"/>
          <w:marRight w:val="0"/>
          <w:marTop w:val="0"/>
          <w:marBottom w:val="0"/>
          <w:divBdr>
            <w:top w:val="none" w:sz="0" w:space="0" w:color="auto"/>
            <w:left w:val="none" w:sz="0" w:space="0" w:color="auto"/>
            <w:bottom w:val="none" w:sz="0" w:space="0" w:color="auto"/>
            <w:right w:val="none" w:sz="0" w:space="0" w:color="auto"/>
          </w:divBdr>
        </w:div>
        <w:div w:id="851382132">
          <w:marLeft w:val="0"/>
          <w:marRight w:val="0"/>
          <w:marTop w:val="0"/>
          <w:marBottom w:val="0"/>
          <w:divBdr>
            <w:top w:val="none" w:sz="0" w:space="0" w:color="auto"/>
            <w:left w:val="none" w:sz="0" w:space="0" w:color="auto"/>
            <w:bottom w:val="none" w:sz="0" w:space="0" w:color="auto"/>
            <w:right w:val="none" w:sz="0" w:space="0" w:color="auto"/>
          </w:divBdr>
        </w:div>
        <w:div w:id="852916248">
          <w:marLeft w:val="0"/>
          <w:marRight w:val="0"/>
          <w:marTop w:val="0"/>
          <w:marBottom w:val="0"/>
          <w:divBdr>
            <w:top w:val="none" w:sz="0" w:space="0" w:color="auto"/>
            <w:left w:val="none" w:sz="0" w:space="0" w:color="auto"/>
            <w:bottom w:val="none" w:sz="0" w:space="0" w:color="auto"/>
            <w:right w:val="none" w:sz="0" w:space="0" w:color="auto"/>
          </w:divBdr>
        </w:div>
        <w:div w:id="878517291">
          <w:marLeft w:val="0"/>
          <w:marRight w:val="0"/>
          <w:marTop w:val="0"/>
          <w:marBottom w:val="0"/>
          <w:divBdr>
            <w:top w:val="none" w:sz="0" w:space="0" w:color="auto"/>
            <w:left w:val="none" w:sz="0" w:space="0" w:color="auto"/>
            <w:bottom w:val="none" w:sz="0" w:space="0" w:color="auto"/>
            <w:right w:val="none" w:sz="0" w:space="0" w:color="auto"/>
          </w:divBdr>
        </w:div>
        <w:div w:id="882404016">
          <w:marLeft w:val="0"/>
          <w:marRight w:val="0"/>
          <w:marTop w:val="0"/>
          <w:marBottom w:val="0"/>
          <w:divBdr>
            <w:top w:val="none" w:sz="0" w:space="0" w:color="auto"/>
            <w:left w:val="none" w:sz="0" w:space="0" w:color="auto"/>
            <w:bottom w:val="none" w:sz="0" w:space="0" w:color="auto"/>
            <w:right w:val="none" w:sz="0" w:space="0" w:color="auto"/>
          </w:divBdr>
        </w:div>
        <w:div w:id="895354835">
          <w:marLeft w:val="0"/>
          <w:marRight w:val="0"/>
          <w:marTop w:val="0"/>
          <w:marBottom w:val="0"/>
          <w:divBdr>
            <w:top w:val="none" w:sz="0" w:space="0" w:color="auto"/>
            <w:left w:val="none" w:sz="0" w:space="0" w:color="auto"/>
            <w:bottom w:val="none" w:sz="0" w:space="0" w:color="auto"/>
            <w:right w:val="none" w:sz="0" w:space="0" w:color="auto"/>
          </w:divBdr>
        </w:div>
        <w:div w:id="899444780">
          <w:marLeft w:val="0"/>
          <w:marRight w:val="0"/>
          <w:marTop w:val="0"/>
          <w:marBottom w:val="0"/>
          <w:divBdr>
            <w:top w:val="none" w:sz="0" w:space="0" w:color="auto"/>
            <w:left w:val="none" w:sz="0" w:space="0" w:color="auto"/>
            <w:bottom w:val="none" w:sz="0" w:space="0" w:color="auto"/>
            <w:right w:val="none" w:sz="0" w:space="0" w:color="auto"/>
          </w:divBdr>
        </w:div>
        <w:div w:id="904297187">
          <w:marLeft w:val="0"/>
          <w:marRight w:val="0"/>
          <w:marTop w:val="0"/>
          <w:marBottom w:val="0"/>
          <w:divBdr>
            <w:top w:val="none" w:sz="0" w:space="0" w:color="auto"/>
            <w:left w:val="none" w:sz="0" w:space="0" w:color="auto"/>
            <w:bottom w:val="none" w:sz="0" w:space="0" w:color="auto"/>
            <w:right w:val="none" w:sz="0" w:space="0" w:color="auto"/>
          </w:divBdr>
        </w:div>
        <w:div w:id="909265986">
          <w:marLeft w:val="0"/>
          <w:marRight w:val="0"/>
          <w:marTop w:val="0"/>
          <w:marBottom w:val="0"/>
          <w:divBdr>
            <w:top w:val="none" w:sz="0" w:space="0" w:color="auto"/>
            <w:left w:val="none" w:sz="0" w:space="0" w:color="auto"/>
            <w:bottom w:val="none" w:sz="0" w:space="0" w:color="auto"/>
            <w:right w:val="none" w:sz="0" w:space="0" w:color="auto"/>
          </w:divBdr>
        </w:div>
        <w:div w:id="912080492">
          <w:marLeft w:val="0"/>
          <w:marRight w:val="0"/>
          <w:marTop w:val="0"/>
          <w:marBottom w:val="0"/>
          <w:divBdr>
            <w:top w:val="none" w:sz="0" w:space="0" w:color="auto"/>
            <w:left w:val="none" w:sz="0" w:space="0" w:color="auto"/>
            <w:bottom w:val="none" w:sz="0" w:space="0" w:color="auto"/>
            <w:right w:val="none" w:sz="0" w:space="0" w:color="auto"/>
          </w:divBdr>
        </w:div>
        <w:div w:id="912930944">
          <w:marLeft w:val="0"/>
          <w:marRight w:val="0"/>
          <w:marTop w:val="0"/>
          <w:marBottom w:val="0"/>
          <w:divBdr>
            <w:top w:val="none" w:sz="0" w:space="0" w:color="auto"/>
            <w:left w:val="none" w:sz="0" w:space="0" w:color="auto"/>
            <w:bottom w:val="none" w:sz="0" w:space="0" w:color="auto"/>
            <w:right w:val="none" w:sz="0" w:space="0" w:color="auto"/>
          </w:divBdr>
        </w:div>
        <w:div w:id="917982428">
          <w:marLeft w:val="0"/>
          <w:marRight w:val="0"/>
          <w:marTop w:val="0"/>
          <w:marBottom w:val="0"/>
          <w:divBdr>
            <w:top w:val="none" w:sz="0" w:space="0" w:color="auto"/>
            <w:left w:val="none" w:sz="0" w:space="0" w:color="auto"/>
            <w:bottom w:val="none" w:sz="0" w:space="0" w:color="auto"/>
            <w:right w:val="none" w:sz="0" w:space="0" w:color="auto"/>
          </w:divBdr>
        </w:div>
        <w:div w:id="929772862">
          <w:marLeft w:val="0"/>
          <w:marRight w:val="0"/>
          <w:marTop w:val="0"/>
          <w:marBottom w:val="0"/>
          <w:divBdr>
            <w:top w:val="none" w:sz="0" w:space="0" w:color="auto"/>
            <w:left w:val="none" w:sz="0" w:space="0" w:color="auto"/>
            <w:bottom w:val="none" w:sz="0" w:space="0" w:color="auto"/>
            <w:right w:val="none" w:sz="0" w:space="0" w:color="auto"/>
          </w:divBdr>
        </w:div>
        <w:div w:id="940454492">
          <w:marLeft w:val="0"/>
          <w:marRight w:val="0"/>
          <w:marTop w:val="0"/>
          <w:marBottom w:val="0"/>
          <w:divBdr>
            <w:top w:val="none" w:sz="0" w:space="0" w:color="auto"/>
            <w:left w:val="none" w:sz="0" w:space="0" w:color="auto"/>
            <w:bottom w:val="none" w:sz="0" w:space="0" w:color="auto"/>
            <w:right w:val="none" w:sz="0" w:space="0" w:color="auto"/>
          </w:divBdr>
        </w:div>
        <w:div w:id="952982753">
          <w:marLeft w:val="0"/>
          <w:marRight w:val="0"/>
          <w:marTop w:val="0"/>
          <w:marBottom w:val="0"/>
          <w:divBdr>
            <w:top w:val="none" w:sz="0" w:space="0" w:color="auto"/>
            <w:left w:val="none" w:sz="0" w:space="0" w:color="auto"/>
            <w:bottom w:val="none" w:sz="0" w:space="0" w:color="auto"/>
            <w:right w:val="none" w:sz="0" w:space="0" w:color="auto"/>
          </w:divBdr>
        </w:div>
        <w:div w:id="974749409">
          <w:marLeft w:val="0"/>
          <w:marRight w:val="0"/>
          <w:marTop w:val="0"/>
          <w:marBottom w:val="0"/>
          <w:divBdr>
            <w:top w:val="none" w:sz="0" w:space="0" w:color="auto"/>
            <w:left w:val="none" w:sz="0" w:space="0" w:color="auto"/>
            <w:bottom w:val="none" w:sz="0" w:space="0" w:color="auto"/>
            <w:right w:val="none" w:sz="0" w:space="0" w:color="auto"/>
          </w:divBdr>
        </w:div>
        <w:div w:id="986469940">
          <w:marLeft w:val="0"/>
          <w:marRight w:val="0"/>
          <w:marTop w:val="0"/>
          <w:marBottom w:val="0"/>
          <w:divBdr>
            <w:top w:val="none" w:sz="0" w:space="0" w:color="auto"/>
            <w:left w:val="none" w:sz="0" w:space="0" w:color="auto"/>
            <w:bottom w:val="none" w:sz="0" w:space="0" w:color="auto"/>
            <w:right w:val="none" w:sz="0" w:space="0" w:color="auto"/>
          </w:divBdr>
        </w:div>
        <w:div w:id="995841292">
          <w:marLeft w:val="0"/>
          <w:marRight w:val="0"/>
          <w:marTop w:val="0"/>
          <w:marBottom w:val="0"/>
          <w:divBdr>
            <w:top w:val="none" w:sz="0" w:space="0" w:color="auto"/>
            <w:left w:val="none" w:sz="0" w:space="0" w:color="auto"/>
            <w:bottom w:val="none" w:sz="0" w:space="0" w:color="auto"/>
            <w:right w:val="none" w:sz="0" w:space="0" w:color="auto"/>
          </w:divBdr>
        </w:div>
        <w:div w:id="996154342">
          <w:marLeft w:val="0"/>
          <w:marRight w:val="0"/>
          <w:marTop w:val="0"/>
          <w:marBottom w:val="0"/>
          <w:divBdr>
            <w:top w:val="none" w:sz="0" w:space="0" w:color="auto"/>
            <w:left w:val="none" w:sz="0" w:space="0" w:color="auto"/>
            <w:bottom w:val="none" w:sz="0" w:space="0" w:color="auto"/>
            <w:right w:val="none" w:sz="0" w:space="0" w:color="auto"/>
          </w:divBdr>
        </w:div>
        <w:div w:id="1000040084">
          <w:marLeft w:val="0"/>
          <w:marRight w:val="0"/>
          <w:marTop w:val="0"/>
          <w:marBottom w:val="0"/>
          <w:divBdr>
            <w:top w:val="none" w:sz="0" w:space="0" w:color="auto"/>
            <w:left w:val="none" w:sz="0" w:space="0" w:color="auto"/>
            <w:bottom w:val="none" w:sz="0" w:space="0" w:color="auto"/>
            <w:right w:val="none" w:sz="0" w:space="0" w:color="auto"/>
          </w:divBdr>
        </w:div>
        <w:div w:id="1003515086">
          <w:marLeft w:val="0"/>
          <w:marRight w:val="0"/>
          <w:marTop w:val="0"/>
          <w:marBottom w:val="0"/>
          <w:divBdr>
            <w:top w:val="none" w:sz="0" w:space="0" w:color="auto"/>
            <w:left w:val="none" w:sz="0" w:space="0" w:color="auto"/>
            <w:bottom w:val="none" w:sz="0" w:space="0" w:color="auto"/>
            <w:right w:val="none" w:sz="0" w:space="0" w:color="auto"/>
          </w:divBdr>
        </w:div>
        <w:div w:id="1003628861">
          <w:marLeft w:val="0"/>
          <w:marRight w:val="0"/>
          <w:marTop w:val="0"/>
          <w:marBottom w:val="0"/>
          <w:divBdr>
            <w:top w:val="none" w:sz="0" w:space="0" w:color="auto"/>
            <w:left w:val="none" w:sz="0" w:space="0" w:color="auto"/>
            <w:bottom w:val="none" w:sz="0" w:space="0" w:color="auto"/>
            <w:right w:val="none" w:sz="0" w:space="0" w:color="auto"/>
          </w:divBdr>
        </w:div>
        <w:div w:id="1010332880">
          <w:marLeft w:val="0"/>
          <w:marRight w:val="0"/>
          <w:marTop w:val="0"/>
          <w:marBottom w:val="0"/>
          <w:divBdr>
            <w:top w:val="none" w:sz="0" w:space="0" w:color="auto"/>
            <w:left w:val="none" w:sz="0" w:space="0" w:color="auto"/>
            <w:bottom w:val="none" w:sz="0" w:space="0" w:color="auto"/>
            <w:right w:val="none" w:sz="0" w:space="0" w:color="auto"/>
          </w:divBdr>
        </w:div>
        <w:div w:id="1020161013">
          <w:marLeft w:val="0"/>
          <w:marRight w:val="0"/>
          <w:marTop w:val="0"/>
          <w:marBottom w:val="0"/>
          <w:divBdr>
            <w:top w:val="none" w:sz="0" w:space="0" w:color="auto"/>
            <w:left w:val="none" w:sz="0" w:space="0" w:color="auto"/>
            <w:bottom w:val="none" w:sz="0" w:space="0" w:color="auto"/>
            <w:right w:val="none" w:sz="0" w:space="0" w:color="auto"/>
          </w:divBdr>
        </w:div>
        <w:div w:id="1020473447">
          <w:marLeft w:val="0"/>
          <w:marRight w:val="0"/>
          <w:marTop w:val="0"/>
          <w:marBottom w:val="0"/>
          <w:divBdr>
            <w:top w:val="none" w:sz="0" w:space="0" w:color="auto"/>
            <w:left w:val="none" w:sz="0" w:space="0" w:color="auto"/>
            <w:bottom w:val="none" w:sz="0" w:space="0" w:color="auto"/>
            <w:right w:val="none" w:sz="0" w:space="0" w:color="auto"/>
          </w:divBdr>
        </w:div>
        <w:div w:id="1023744452">
          <w:marLeft w:val="0"/>
          <w:marRight w:val="0"/>
          <w:marTop w:val="0"/>
          <w:marBottom w:val="0"/>
          <w:divBdr>
            <w:top w:val="none" w:sz="0" w:space="0" w:color="auto"/>
            <w:left w:val="none" w:sz="0" w:space="0" w:color="auto"/>
            <w:bottom w:val="none" w:sz="0" w:space="0" w:color="auto"/>
            <w:right w:val="none" w:sz="0" w:space="0" w:color="auto"/>
          </w:divBdr>
        </w:div>
        <w:div w:id="1036586144">
          <w:marLeft w:val="0"/>
          <w:marRight w:val="0"/>
          <w:marTop w:val="0"/>
          <w:marBottom w:val="0"/>
          <w:divBdr>
            <w:top w:val="none" w:sz="0" w:space="0" w:color="auto"/>
            <w:left w:val="none" w:sz="0" w:space="0" w:color="auto"/>
            <w:bottom w:val="none" w:sz="0" w:space="0" w:color="auto"/>
            <w:right w:val="none" w:sz="0" w:space="0" w:color="auto"/>
          </w:divBdr>
        </w:div>
        <w:div w:id="1037968159">
          <w:marLeft w:val="0"/>
          <w:marRight w:val="0"/>
          <w:marTop w:val="0"/>
          <w:marBottom w:val="0"/>
          <w:divBdr>
            <w:top w:val="none" w:sz="0" w:space="0" w:color="auto"/>
            <w:left w:val="none" w:sz="0" w:space="0" w:color="auto"/>
            <w:bottom w:val="none" w:sz="0" w:space="0" w:color="auto"/>
            <w:right w:val="none" w:sz="0" w:space="0" w:color="auto"/>
          </w:divBdr>
        </w:div>
        <w:div w:id="1052578887">
          <w:marLeft w:val="0"/>
          <w:marRight w:val="0"/>
          <w:marTop w:val="0"/>
          <w:marBottom w:val="0"/>
          <w:divBdr>
            <w:top w:val="none" w:sz="0" w:space="0" w:color="auto"/>
            <w:left w:val="none" w:sz="0" w:space="0" w:color="auto"/>
            <w:bottom w:val="none" w:sz="0" w:space="0" w:color="auto"/>
            <w:right w:val="none" w:sz="0" w:space="0" w:color="auto"/>
          </w:divBdr>
        </w:div>
        <w:div w:id="1059981289">
          <w:marLeft w:val="0"/>
          <w:marRight w:val="0"/>
          <w:marTop w:val="0"/>
          <w:marBottom w:val="0"/>
          <w:divBdr>
            <w:top w:val="none" w:sz="0" w:space="0" w:color="auto"/>
            <w:left w:val="none" w:sz="0" w:space="0" w:color="auto"/>
            <w:bottom w:val="none" w:sz="0" w:space="0" w:color="auto"/>
            <w:right w:val="none" w:sz="0" w:space="0" w:color="auto"/>
          </w:divBdr>
        </w:div>
        <w:div w:id="1074744584">
          <w:marLeft w:val="0"/>
          <w:marRight w:val="0"/>
          <w:marTop w:val="0"/>
          <w:marBottom w:val="0"/>
          <w:divBdr>
            <w:top w:val="none" w:sz="0" w:space="0" w:color="auto"/>
            <w:left w:val="none" w:sz="0" w:space="0" w:color="auto"/>
            <w:bottom w:val="none" w:sz="0" w:space="0" w:color="auto"/>
            <w:right w:val="none" w:sz="0" w:space="0" w:color="auto"/>
          </w:divBdr>
        </w:div>
        <w:div w:id="1081952463">
          <w:marLeft w:val="0"/>
          <w:marRight w:val="0"/>
          <w:marTop w:val="0"/>
          <w:marBottom w:val="0"/>
          <w:divBdr>
            <w:top w:val="none" w:sz="0" w:space="0" w:color="auto"/>
            <w:left w:val="none" w:sz="0" w:space="0" w:color="auto"/>
            <w:bottom w:val="none" w:sz="0" w:space="0" w:color="auto"/>
            <w:right w:val="none" w:sz="0" w:space="0" w:color="auto"/>
          </w:divBdr>
        </w:div>
        <w:div w:id="1112936698">
          <w:marLeft w:val="0"/>
          <w:marRight w:val="0"/>
          <w:marTop w:val="0"/>
          <w:marBottom w:val="0"/>
          <w:divBdr>
            <w:top w:val="none" w:sz="0" w:space="0" w:color="auto"/>
            <w:left w:val="none" w:sz="0" w:space="0" w:color="auto"/>
            <w:bottom w:val="none" w:sz="0" w:space="0" w:color="auto"/>
            <w:right w:val="none" w:sz="0" w:space="0" w:color="auto"/>
          </w:divBdr>
        </w:div>
        <w:div w:id="1124420831">
          <w:marLeft w:val="0"/>
          <w:marRight w:val="0"/>
          <w:marTop w:val="0"/>
          <w:marBottom w:val="0"/>
          <w:divBdr>
            <w:top w:val="none" w:sz="0" w:space="0" w:color="auto"/>
            <w:left w:val="none" w:sz="0" w:space="0" w:color="auto"/>
            <w:bottom w:val="none" w:sz="0" w:space="0" w:color="auto"/>
            <w:right w:val="none" w:sz="0" w:space="0" w:color="auto"/>
          </w:divBdr>
        </w:div>
        <w:div w:id="1137529391">
          <w:marLeft w:val="0"/>
          <w:marRight w:val="0"/>
          <w:marTop w:val="0"/>
          <w:marBottom w:val="0"/>
          <w:divBdr>
            <w:top w:val="none" w:sz="0" w:space="0" w:color="auto"/>
            <w:left w:val="none" w:sz="0" w:space="0" w:color="auto"/>
            <w:bottom w:val="none" w:sz="0" w:space="0" w:color="auto"/>
            <w:right w:val="none" w:sz="0" w:space="0" w:color="auto"/>
          </w:divBdr>
        </w:div>
        <w:div w:id="1143044398">
          <w:marLeft w:val="0"/>
          <w:marRight w:val="0"/>
          <w:marTop w:val="0"/>
          <w:marBottom w:val="0"/>
          <w:divBdr>
            <w:top w:val="none" w:sz="0" w:space="0" w:color="auto"/>
            <w:left w:val="none" w:sz="0" w:space="0" w:color="auto"/>
            <w:bottom w:val="none" w:sz="0" w:space="0" w:color="auto"/>
            <w:right w:val="none" w:sz="0" w:space="0" w:color="auto"/>
          </w:divBdr>
        </w:div>
        <w:div w:id="1143084100">
          <w:marLeft w:val="0"/>
          <w:marRight w:val="0"/>
          <w:marTop w:val="0"/>
          <w:marBottom w:val="0"/>
          <w:divBdr>
            <w:top w:val="none" w:sz="0" w:space="0" w:color="auto"/>
            <w:left w:val="none" w:sz="0" w:space="0" w:color="auto"/>
            <w:bottom w:val="none" w:sz="0" w:space="0" w:color="auto"/>
            <w:right w:val="none" w:sz="0" w:space="0" w:color="auto"/>
          </w:divBdr>
        </w:div>
        <w:div w:id="1167358753">
          <w:marLeft w:val="0"/>
          <w:marRight w:val="0"/>
          <w:marTop w:val="0"/>
          <w:marBottom w:val="0"/>
          <w:divBdr>
            <w:top w:val="none" w:sz="0" w:space="0" w:color="auto"/>
            <w:left w:val="none" w:sz="0" w:space="0" w:color="auto"/>
            <w:bottom w:val="none" w:sz="0" w:space="0" w:color="auto"/>
            <w:right w:val="none" w:sz="0" w:space="0" w:color="auto"/>
          </w:divBdr>
        </w:div>
        <w:div w:id="1176461327">
          <w:marLeft w:val="0"/>
          <w:marRight w:val="0"/>
          <w:marTop w:val="0"/>
          <w:marBottom w:val="0"/>
          <w:divBdr>
            <w:top w:val="none" w:sz="0" w:space="0" w:color="auto"/>
            <w:left w:val="none" w:sz="0" w:space="0" w:color="auto"/>
            <w:bottom w:val="none" w:sz="0" w:space="0" w:color="auto"/>
            <w:right w:val="none" w:sz="0" w:space="0" w:color="auto"/>
          </w:divBdr>
        </w:div>
        <w:div w:id="1178738843">
          <w:marLeft w:val="0"/>
          <w:marRight w:val="0"/>
          <w:marTop w:val="0"/>
          <w:marBottom w:val="0"/>
          <w:divBdr>
            <w:top w:val="none" w:sz="0" w:space="0" w:color="auto"/>
            <w:left w:val="none" w:sz="0" w:space="0" w:color="auto"/>
            <w:bottom w:val="none" w:sz="0" w:space="0" w:color="auto"/>
            <w:right w:val="none" w:sz="0" w:space="0" w:color="auto"/>
          </w:divBdr>
        </w:div>
        <w:div w:id="1179084677">
          <w:marLeft w:val="0"/>
          <w:marRight w:val="0"/>
          <w:marTop w:val="0"/>
          <w:marBottom w:val="0"/>
          <w:divBdr>
            <w:top w:val="none" w:sz="0" w:space="0" w:color="auto"/>
            <w:left w:val="none" w:sz="0" w:space="0" w:color="auto"/>
            <w:bottom w:val="none" w:sz="0" w:space="0" w:color="auto"/>
            <w:right w:val="none" w:sz="0" w:space="0" w:color="auto"/>
          </w:divBdr>
        </w:div>
        <w:div w:id="1181747611">
          <w:marLeft w:val="0"/>
          <w:marRight w:val="0"/>
          <w:marTop w:val="0"/>
          <w:marBottom w:val="0"/>
          <w:divBdr>
            <w:top w:val="none" w:sz="0" w:space="0" w:color="auto"/>
            <w:left w:val="none" w:sz="0" w:space="0" w:color="auto"/>
            <w:bottom w:val="none" w:sz="0" w:space="0" w:color="auto"/>
            <w:right w:val="none" w:sz="0" w:space="0" w:color="auto"/>
          </w:divBdr>
        </w:div>
        <w:div w:id="1183084837">
          <w:marLeft w:val="0"/>
          <w:marRight w:val="0"/>
          <w:marTop w:val="0"/>
          <w:marBottom w:val="0"/>
          <w:divBdr>
            <w:top w:val="none" w:sz="0" w:space="0" w:color="auto"/>
            <w:left w:val="none" w:sz="0" w:space="0" w:color="auto"/>
            <w:bottom w:val="none" w:sz="0" w:space="0" w:color="auto"/>
            <w:right w:val="none" w:sz="0" w:space="0" w:color="auto"/>
          </w:divBdr>
        </w:div>
        <w:div w:id="1188180152">
          <w:marLeft w:val="0"/>
          <w:marRight w:val="0"/>
          <w:marTop w:val="0"/>
          <w:marBottom w:val="0"/>
          <w:divBdr>
            <w:top w:val="none" w:sz="0" w:space="0" w:color="auto"/>
            <w:left w:val="none" w:sz="0" w:space="0" w:color="auto"/>
            <w:bottom w:val="none" w:sz="0" w:space="0" w:color="auto"/>
            <w:right w:val="none" w:sz="0" w:space="0" w:color="auto"/>
          </w:divBdr>
        </w:div>
        <w:div w:id="1189370784">
          <w:marLeft w:val="0"/>
          <w:marRight w:val="0"/>
          <w:marTop w:val="0"/>
          <w:marBottom w:val="0"/>
          <w:divBdr>
            <w:top w:val="none" w:sz="0" w:space="0" w:color="auto"/>
            <w:left w:val="none" w:sz="0" w:space="0" w:color="auto"/>
            <w:bottom w:val="none" w:sz="0" w:space="0" w:color="auto"/>
            <w:right w:val="none" w:sz="0" w:space="0" w:color="auto"/>
          </w:divBdr>
        </w:div>
        <w:div w:id="1191921427">
          <w:marLeft w:val="0"/>
          <w:marRight w:val="0"/>
          <w:marTop w:val="0"/>
          <w:marBottom w:val="0"/>
          <w:divBdr>
            <w:top w:val="none" w:sz="0" w:space="0" w:color="auto"/>
            <w:left w:val="none" w:sz="0" w:space="0" w:color="auto"/>
            <w:bottom w:val="none" w:sz="0" w:space="0" w:color="auto"/>
            <w:right w:val="none" w:sz="0" w:space="0" w:color="auto"/>
          </w:divBdr>
        </w:div>
        <w:div w:id="1192845283">
          <w:marLeft w:val="0"/>
          <w:marRight w:val="0"/>
          <w:marTop w:val="0"/>
          <w:marBottom w:val="0"/>
          <w:divBdr>
            <w:top w:val="none" w:sz="0" w:space="0" w:color="auto"/>
            <w:left w:val="none" w:sz="0" w:space="0" w:color="auto"/>
            <w:bottom w:val="none" w:sz="0" w:space="0" w:color="auto"/>
            <w:right w:val="none" w:sz="0" w:space="0" w:color="auto"/>
          </w:divBdr>
        </w:div>
        <w:div w:id="1202127518">
          <w:marLeft w:val="0"/>
          <w:marRight w:val="0"/>
          <w:marTop w:val="0"/>
          <w:marBottom w:val="0"/>
          <w:divBdr>
            <w:top w:val="none" w:sz="0" w:space="0" w:color="auto"/>
            <w:left w:val="none" w:sz="0" w:space="0" w:color="auto"/>
            <w:bottom w:val="none" w:sz="0" w:space="0" w:color="auto"/>
            <w:right w:val="none" w:sz="0" w:space="0" w:color="auto"/>
          </w:divBdr>
        </w:div>
        <w:div w:id="1219973665">
          <w:marLeft w:val="0"/>
          <w:marRight w:val="0"/>
          <w:marTop w:val="0"/>
          <w:marBottom w:val="0"/>
          <w:divBdr>
            <w:top w:val="none" w:sz="0" w:space="0" w:color="auto"/>
            <w:left w:val="none" w:sz="0" w:space="0" w:color="auto"/>
            <w:bottom w:val="none" w:sz="0" w:space="0" w:color="auto"/>
            <w:right w:val="none" w:sz="0" w:space="0" w:color="auto"/>
          </w:divBdr>
        </w:div>
        <w:div w:id="1221358902">
          <w:marLeft w:val="0"/>
          <w:marRight w:val="0"/>
          <w:marTop w:val="0"/>
          <w:marBottom w:val="0"/>
          <w:divBdr>
            <w:top w:val="none" w:sz="0" w:space="0" w:color="auto"/>
            <w:left w:val="none" w:sz="0" w:space="0" w:color="auto"/>
            <w:bottom w:val="none" w:sz="0" w:space="0" w:color="auto"/>
            <w:right w:val="none" w:sz="0" w:space="0" w:color="auto"/>
          </w:divBdr>
        </w:div>
        <w:div w:id="1248198668">
          <w:marLeft w:val="0"/>
          <w:marRight w:val="0"/>
          <w:marTop w:val="0"/>
          <w:marBottom w:val="0"/>
          <w:divBdr>
            <w:top w:val="none" w:sz="0" w:space="0" w:color="auto"/>
            <w:left w:val="none" w:sz="0" w:space="0" w:color="auto"/>
            <w:bottom w:val="none" w:sz="0" w:space="0" w:color="auto"/>
            <w:right w:val="none" w:sz="0" w:space="0" w:color="auto"/>
          </w:divBdr>
        </w:div>
        <w:div w:id="1252161633">
          <w:marLeft w:val="0"/>
          <w:marRight w:val="0"/>
          <w:marTop w:val="0"/>
          <w:marBottom w:val="0"/>
          <w:divBdr>
            <w:top w:val="none" w:sz="0" w:space="0" w:color="auto"/>
            <w:left w:val="none" w:sz="0" w:space="0" w:color="auto"/>
            <w:bottom w:val="none" w:sz="0" w:space="0" w:color="auto"/>
            <w:right w:val="none" w:sz="0" w:space="0" w:color="auto"/>
          </w:divBdr>
        </w:div>
        <w:div w:id="1259219885">
          <w:marLeft w:val="0"/>
          <w:marRight w:val="0"/>
          <w:marTop w:val="0"/>
          <w:marBottom w:val="0"/>
          <w:divBdr>
            <w:top w:val="none" w:sz="0" w:space="0" w:color="auto"/>
            <w:left w:val="none" w:sz="0" w:space="0" w:color="auto"/>
            <w:bottom w:val="none" w:sz="0" w:space="0" w:color="auto"/>
            <w:right w:val="none" w:sz="0" w:space="0" w:color="auto"/>
          </w:divBdr>
        </w:div>
        <w:div w:id="1278950677">
          <w:marLeft w:val="0"/>
          <w:marRight w:val="0"/>
          <w:marTop w:val="0"/>
          <w:marBottom w:val="0"/>
          <w:divBdr>
            <w:top w:val="none" w:sz="0" w:space="0" w:color="auto"/>
            <w:left w:val="none" w:sz="0" w:space="0" w:color="auto"/>
            <w:bottom w:val="none" w:sz="0" w:space="0" w:color="auto"/>
            <w:right w:val="none" w:sz="0" w:space="0" w:color="auto"/>
          </w:divBdr>
        </w:div>
        <w:div w:id="1284190703">
          <w:marLeft w:val="0"/>
          <w:marRight w:val="0"/>
          <w:marTop w:val="0"/>
          <w:marBottom w:val="0"/>
          <w:divBdr>
            <w:top w:val="none" w:sz="0" w:space="0" w:color="auto"/>
            <w:left w:val="none" w:sz="0" w:space="0" w:color="auto"/>
            <w:bottom w:val="none" w:sz="0" w:space="0" w:color="auto"/>
            <w:right w:val="none" w:sz="0" w:space="0" w:color="auto"/>
          </w:divBdr>
        </w:div>
        <w:div w:id="1303584697">
          <w:marLeft w:val="0"/>
          <w:marRight w:val="0"/>
          <w:marTop w:val="0"/>
          <w:marBottom w:val="0"/>
          <w:divBdr>
            <w:top w:val="none" w:sz="0" w:space="0" w:color="auto"/>
            <w:left w:val="none" w:sz="0" w:space="0" w:color="auto"/>
            <w:bottom w:val="none" w:sz="0" w:space="0" w:color="auto"/>
            <w:right w:val="none" w:sz="0" w:space="0" w:color="auto"/>
          </w:divBdr>
        </w:div>
        <w:div w:id="1306619537">
          <w:marLeft w:val="0"/>
          <w:marRight w:val="0"/>
          <w:marTop w:val="0"/>
          <w:marBottom w:val="0"/>
          <w:divBdr>
            <w:top w:val="none" w:sz="0" w:space="0" w:color="auto"/>
            <w:left w:val="none" w:sz="0" w:space="0" w:color="auto"/>
            <w:bottom w:val="none" w:sz="0" w:space="0" w:color="auto"/>
            <w:right w:val="none" w:sz="0" w:space="0" w:color="auto"/>
          </w:divBdr>
        </w:div>
        <w:div w:id="1310133070">
          <w:marLeft w:val="0"/>
          <w:marRight w:val="0"/>
          <w:marTop w:val="0"/>
          <w:marBottom w:val="0"/>
          <w:divBdr>
            <w:top w:val="none" w:sz="0" w:space="0" w:color="auto"/>
            <w:left w:val="none" w:sz="0" w:space="0" w:color="auto"/>
            <w:bottom w:val="none" w:sz="0" w:space="0" w:color="auto"/>
            <w:right w:val="none" w:sz="0" w:space="0" w:color="auto"/>
          </w:divBdr>
        </w:div>
        <w:div w:id="1320620625">
          <w:marLeft w:val="0"/>
          <w:marRight w:val="0"/>
          <w:marTop w:val="0"/>
          <w:marBottom w:val="0"/>
          <w:divBdr>
            <w:top w:val="none" w:sz="0" w:space="0" w:color="auto"/>
            <w:left w:val="none" w:sz="0" w:space="0" w:color="auto"/>
            <w:bottom w:val="none" w:sz="0" w:space="0" w:color="auto"/>
            <w:right w:val="none" w:sz="0" w:space="0" w:color="auto"/>
          </w:divBdr>
        </w:div>
        <w:div w:id="1322192866">
          <w:marLeft w:val="0"/>
          <w:marRight w:val="0"/>
          <w:marTop w:val="0"/>
          <w:marBottom w:val="0"/>
          <w:divBdr>
            <w:top w:val="none" w:sz="0" w:space="0" w:color="auto"/>
            <w:left w:val="none" w:sz="0" w:space="0" w:color="auto"/>
            <w:bottom w:val="none" w:sz="0" w:space="0" w:color="auto"/>
            <w:right w:val="none" w:sz="0" w:space="0" w:color="auto"/>
          </w:divBdr>
        </w:div>
        <w:div w:id="1324509110">
          <w:marLeft w:val="0"/>
          <w:marRight w:val="0"/>
          <w:marTop w:val="0"/>
          <w:marBottom w:val="0"/>
          <w:divBdr>
            <w:top w:val="none" w:sz="0" w:space="0" w:color="auto"/>
            <w:left w:val="none" w:sz="0" w:space="0" w:color="auto"/>
            <w:bottom w:val="none" w:sz="0" w:space="0" w:color="auto"/>
            <w:right w:val="none" w:sz="0" w:space="0" w:color="auto"/>
          </w:divBdr>
        </w:div>
        <w:div w:id="1333292380">
          <w:marLeft w:val="0"/>
          <w:marRight w:val="0"/>
          <w:marTop w:val="0"/>
          <w:marBottom w:val="0"/>
          <w:divBdr>
            <w:top w:val="none" w:sz="0" w:space="0" w:color="auto"/>
            <w:left w:val="none" w:sz="0" w:space="0" w:color="auto"/>
            <w:bottom w:val="none" w:sz="0" w:space="0" w:color="auto"/>
            <w:right w:val="none" w:sz="0" w:space="0" w:color="auto"/>
          </w:divBdr>
        </w:div>
        <w:div w:id="1333682151">
          <w:marLeft w:val="0"/>
          <w:marRight w:val="0"/>
          <w:marTop w:val="0"/>
          <w:marBottom w:val="0"/>
          <w:divBdr>
            <w:top w:val="none" w:sz="0" w:space="0" w:color="auto"/>
            <w:left w:val="none" w:sz="0" w:space="0" w:color="auto"/>
            <w:bottom w:val="none" w:sz="0" w:space="0" w:color="auto"/>
            <w:right w:val="none" w:sz="0" w:space="0" w:color="auto"/>
          </w:divBdr>
        </w:div>
        <w:div w:id="1335112035">
          <w:marLeft w:val="0"/>
          <w:marRight w:val="0"/>
          <w:marTop w:val="0"/>
          <w:marBottom w:val="0"/>
          <w:divBdr>
            <w:top w:val="none" w:sz="0" w:space="0" w:color="auto"/>
            <w:left w:val="none" w:sz="0" w:space="0" w:color="auto"/>
            <w:bottom w:val="none" w:sz="0" w:space="0" w:color="auto"/>
            <w:right w:val="none" w:sz="0" w:space="0" w:color="auto"/>
          </w:divBdr>
        </w:div>
        <w:div w:id="1342850892">
          <w:marLeft w:val="0"/>
          <w:marRight w:val="0"/>
          <w:marTop w:val="0"/>
          <w:marBottom w:val="0"/>
          <w:divBdr>
            <w:top w:val="none" w:sz="0" w:space="0" w:color="auto"/>
            <w:left w:val="none" w:sz="0" w:space="0" w:color="auto"/>
            <w:bottom w:val="none" w:sz="0" w:space="0" w:color="auto"/>
            <w:right w:val="none" w:sz="0" w:space="0" w:color="auto"/>
          </w:divBdr>
        </w:div>
        <w:div w:id="1362243524">
          <w:marLeft w:val="0"/>
          <w:marRight w:val="0"/>
          <w:marTop w:val="0"/>
          <w:marBottom w:val="0"/>
          <w:divBdr>
            <w:top w:val="none" w:sz="0" w:space="0" w:color="auto"/>
            <w:left w:val="none" w:sz="0" w:space="0" w:color="auto"/>
            <w:bottom w:val="none" w:sz="0" w:space="0" w:color="auto"/>
            <w:right w:val="none" w:sz="0" w:space="0" w:color="auto"/>
          </w:divBdr>
        </w:div>
        <w:div w:id="1367488244">
          <w:marLeft w:val="0"/>
          <w:marRight w:val="0"/>
          <w:marTop w:val="0"/>
          <w:marBottom w:val="0"/>
          <w:divBdr>
            <w:top w:val="none" w:sz="0" w:space="0" w:color="auto"/>
            <w:left w:val="none" w:sz="0" w:space="0" w:color="auto"/>
            <w:bottom w:val="none" w:sz="0" w:space="0" w:color="auto"/>
            <w:right w:val="none" w:sz="0" w:space="0" w:color="auto"/>
          </w:divBdr>
        </w:div>
        <w:div w:id="1381317323">
          <w:marLeft w:val="0"/>
          <w:marRight w:val="0"/>
          <w:marTop w:val="0"/>
          <w:marBottom w:val="0"/>
          <w:divBdr>
            <w:top w:val="none" w:sz="0" w:space="0" w:color="auto"/>
            <w:left w:val="none" w:sz="0" w:space="0" w:color="auto"/>
            <w:bottom w:val="none" w:sz="0" w:space="0" w:color="auto"/>
            <w:right w:val="none" w:sz="0" w:space="0" w:color="auto"/>
          </w:divBdr>
        </w:div>
        <w:div w:id="1391535458">
          <w:marLeft w:val="0"/>
          <w:marRight w:val="0"/>
          <w:marTop w:val="0"/>
          <w:marBottom w:val="0"/>
          <w:divBdr>
            <w:top w:val="none" w:sz="0" w:space="0" w:color="auto"/>
            <w:left w:val="none" w:sz="0" w:space="0" w:color="auto"/>
            <w:bottom w:val="none" w:sz="0" w:space="0" w:color="auto"/>
            <w:right w:val="none" w:sz="0" w:space="0" w:color="auto"/>
          </w:divBdr>
        </w:div>
        <w:div w:id="1394813242">
          <w:marLeft w:val="0"/>
          <w:marRight w:val="0"/>
          <w:marTop w:val="0"/>
          <w:marBottom w:val="0"/>
          <w:divBdr>
            <w:top w:val="none" w:sz="0" w:space="0" w:color="auto"/>
            <w:left w:val="none" w:sz="0" w:space="0" w:color="auto"/>
            <w:bottom w:val="none" w:sz="0" w:space="0" w:color="auto"/>
            <w:right w:val="none" w:sz="0" w:space="0" w:color="auto"/>
          </w:divBdr>
        </w:div>
        <w:div w:id="1400665912">
          <w:marLeft w:val="0"/>
          <w:marRight w:val="0"/>
          <w:marTop w:val="0"/>
          <w:marBottom w:val="0"/>
          <w:divBdr>
            <w:top w:val="none" w:sz="0" w:space="0" w:color="auto"/>
            <w:left w:val="none" w:sz="0" w:space="0" w:color="auto"/>
            <w:bottom w:val="none" w:sz="0" w:space="0" w:color="auto"/>
            <w:right w:val="none" w:sz="0" w:space="0" w:color="auto"/>
          </w:divBdr>
        </w:div>
        <w:div w:id="1401977474">
          <w:marLeft w:val="0"/>
          <w:marRight w:val="0"/>
          <w:marTop w:val="0"/>
          <w:marBottom w:val="0"/>
          <w:divBdr>
            <w:top w:val="none" w:sz="0" w:space="0" w:color="auto"/>
            <w:left w:val="none" w:sz="0" w:space="0" w:color="auto"/>
            <w:bottom w:val="none" w:sz="0" w:space="0" w:color="auto"/>
            <w:right w:val="none" w:sz="0" w:space="0" w:color="auto"/>
          </w:divBdr>
        </w:div>
        <w:div w:id="1406368300">
          <w:marLeft w:val="0"/>
          <w:marRight w:val="0"/>
          <w:marTop w:val="0"/>
          <w:marBottom w:val="0"/>
          <w:divBdr>
            <w:top w:val="none" w:sz="0" w:space="0" w:color="auto"/>
            <w:left w:val="none" w:sz="0" w:space="0" w:color="auto"/>
            <w:bottom w:val="none" w:sz="0" w:space="0" w:color="auto"/>
            <w:right w:val="none" w:sz="0" w:space="0" w:color="auto"/>
          </w:divBdr>
        </w:div>
        <w:div w:id="1413703845">
          <w:marLeft w:val="0"/>
          <w:marRight w:val="0"/>
          <w:marTop w:val="0"/>
          <w:marBottom w:val="0"/>
          <w:divBdr>
            <w:top w:val="none" w:sz="0" w:space="0" w:color="auto"/>
            <w:left w:val="none" w:sz="0" w:space="0" w:color="auto"/>
            <w:bottom w:val="none" w:sz="0" w:space="0" w:color="auto"/>
            <w:right w:val="none" w:sz="0" w:space="0" w:color="auto"/>
          </w:divBdr>
        </w:div>
        <w:div w:id="1431664601">
          <w:marLeft w:val="0"/>
          <w:marRight w:val="0"/>
          <w:marTop w:val="0"/>
          <w:marBottom w:val="0"/>
          <w:divBdr>
            <w:top w:val="none" w:sz="0" w:space="0" w:color="auto"/>
            <w:left w:val="none" w:sz="0" w:space="0" w:color="auto"/>
            <w:bottom w:val="none" w:sz="0" w:space="0" w:color="auto"/>
            <w:right w:val="none" w:sz="0" w:space="0" w:color="auto"/>
          </w:divBdr>
        </w:div>
        <w:div w:id="1460108338">
          <w:marLeft w:val="0"/>
          <w:marRight w:val="0"/>
          <w:marTop w:val="0"/>
          <w:marBottom w:val="0"/>
          <w:divBdr>
            <w:top w:val="none" w:sz="0" w:space="0" w:color="auto"/>
            <w:left w:val="none" w:sz="0" w:space="0" w:color="auto"/>
            <w:bottom w:val="none" w:sz="0" w:space="0" w:color="auto"/>
            <w:right w:val="none" w:sz="0" w:space="0" w:color="auto"/>
          </w:divBdr>
        </w:div>
        <w:div w:id="1464082626">
          <w:marLeft w:val="0"/>
          <w:marRight w:val="0"/>
          <w:marTop w:val="0"/>
          <w:marBottom w:val="0"/>
          <w:divBdr>
            <w:top w:val="none" w:sz="0" w:space="0" w:color="auto"/>
            <w:left w:val="none" w:sz="0" w:space="0" w:color="auto"/>
            <w:bottom w:val="none" w:sz="0" w:space="0" w:color="auto"/>
            <w:right w:val="none" w:sz="0" w:space="0" w:color="auto"/>
          </w:divBdr>
        </w:div>
        <w:div w:id="1465348876">
          <w:marLeft w:val="0"/>
          <w:marRight w:val="0"/>
          <w:marTop w:val="0"/>
          <w:marBottom w:val="0"/>
          <w:divBdr>
            <w:top w:val="none" w:sz="0" w:space="0" w:color="auto"/>
            <w:left w:val="none" w:sz="0" w:space="0" w:color="auto"/>
            <w:bottom w:val="none" w:sz="0" w:space="0" w:color="auto"/>
            <w:right w:val="none" w:sz="0" w:space="0" w:color="auto"/>
          </w:divBdr>
        </w:div>
        <w:div w:id="1468090207">
          <w:marLeft w:val="0"/>
          <w:marRight w:val="0"/>
          <w:marTop w:val="0"/>
          <w:marBottom w:val="0"/>
          <w:divBdr>
            <w:top w:val="none" w:sz="0" w:space="0" w:color="auto"/>
            <w:left w:val="none" w:sz="0" w:space="0" w:color="auto"/>
            <w:bottom w:val="none" w:sz="0" w:space="0" w:color="auto"/>
            <w:right w:val="none" w:sz="0" w:space="0" w:color="auto"/>
          </w:divBdr>
        </w:div>
        <w:div w:id="1477527297">
          <w:marLeft w:val="0"/>
          <w:marRight w:val="0"/>
          <w:marTop w:val="0"/>
          <w:marBottom w:val="0"/>
          <w:divBdr>
            <w:top w:val="none" w:sz="0" w:space="0" w:color="auto"/>
            <w:left w:val="none" w:sz="0" w:space="0" w:color="auto"/>
            <w:bottom w:val="none" w:sz="0" w:space="0" w:color="auto"/>
            <w:right w:val="none" w:sz="0" w:space="0" w:color="auto"/>
          </w:divBdr>
        </w:div>
        <w:div w:id="1490947900">
          <w:marLeft w:val="0"/>
          <w:marRight w:val="0"/>
          <w:marTop w:val="0"/>
          <w:marBottom w:val="0"/>
          <w:divBdr>
            <w:top w:val="none" w:sz="0" w:space="0" w:color="auto"/>
            <w:left w:val="none" w:sz="0" w:space="0" w:color="auto"/>
            <w:bottom w:val="none" w:sz="0" w:space="0" w:color="auto"/>
            <w:right w:val="none" w:sz="0" w:space="0" w:color="auto"/>
          </w:divBdr>
        </w:div>
        <w:div w:id="1491290251">
          <w:marLeft w:val="0"/>
          <w:marRight w:val="0"/>
          <w:marTop w:val="0"/>
          <w:marBottom w:val="0"/>
          <w:divBdr>
            <w:top w:val="none" w:sz="0" w:space="0" w:color="auto"/>
            <w:left w:val="none" w:sz="0" w:space="0" w:color="auto"/>
            <w:bottom w:val="none" w:sz="0" w:space="0" w:color="auto"/>
            <w:right w:val="none" w:sz="0" w:space="0" w:color="auto"/>
          </w:divBdr>
        </w:div>
        <w:div w:id="1496528230">
          <w:marLeft w:val="0"/>
          <w:marRight w:val="0"/>
          <w:marTop w:val="0"/>
          <w:marBottom w:val="0"/>
          <w:divBdr>
            <w:top w:val="none" w:sz="0" w:space="0" w:color="auto"/>
            <w:left w:val="none" w:sz="0" w:space="0" w:color="auto"/>
            <w:bottom w:val="none" w:sz="0" w:space="0" w:color="auto"/>
            <w:right w:val="none" w:sz="0" w:space="0" w:color="auto"/>
          </w:divBdr>
        </w:div>
        <w:div w:id="1519079328">
          <w:marLeft w:val="0"/>
          <w:marRight w:val="0"/>
          <w:marTop w:val="0"/>
          <w:marBottom w:val="0"/>
          <w:divBdr>
            <w:top w:val="none" w:sz="0" w:space="0" w:color="auto"/>
            <w:left w:val="none" w:sz="0" w:space="0" w:color="auto"/>
            <w:bottom w:val="none" w:sz="0" w:space="0" w:color="auto"/>
            <w:right w:val="none" w:sz="0" w:space="0" w:color="auto"/>
          </w:divBdr>
        </w:div>
        <w:div w:id="1520467751">
          <w:marLeft w:val="0"/>
          <w:marRight w:val="0"/>
          <w:marTop w:val="0"/>
          <w:marBottom w:val="0"/>
          <w:divBdr>
            <w:top w:val="none" w:sz="0" w:space="0" w:color="auto"/>
            <w:left w:val="none" w:sz="0" w:space="0" w:color="auto"/>
            <w:bottom w:val="none" w:sz="0" w:space="0" w:color="auto"/>
            <w:right w:val="none" w:sz="0" w:space="0" w:color="auto"/>
          </w:divBdr>
        </w:div>
        <w:div w:id="1523936790">
          <w:marLeft w:val="0"/>
          <w:marRight w:val="0"/>
          <w:marTop w:val="0"/>
          <w:marBottom w:val="0"/>
          <w:divBdr>
            <w:top w:val="none" w:sz="0" w:space="0" w:color="auto"/>
            <w:left w:val="none" w:sz="0" w:space="0" w:color="auto"/>
            <w:bottom w:val="none" w:sz="0" w:space="0" w:color="auto"/>
            <w:right w:val="none" w:sz="0" w:space="0" w:color="auto"/>
          </w:divBdr>
        </w:div>
        <w:div w:id="1546987352">
          <w:marLeft w:val="0"/>
          <w:marRight w:val="0"/>
          <w:marTop w:val="0"/>
          <w:marBottom w:val="0"/>
          <w:divBdr>
            <w:top w:val="none" w:sz="0" w:space="0" w:color="auto"/>
            <w:left w:val="none" w:sz="0" w:space="0" w:color="auto"/>
            <w:bottom w:val="none" w:sz="0" w:space="0" w:color="auto"/>
            <w:right w:val="none" w:sz="0" w:space="0" w:color="auto"/>
          </w:divBdr>
        </w:div>
        <w:div w:id="1559709254">
          <w:marLeft w:val="0"/>
          <w:marRight w:val="0"/>
          <w:marTop w:val="0"/>
          <w:marBottom w:val="0"/>
          <w:divBdr>
            <w:top w:val="none" w:sz="0" w:space="0" w:color="auto"/>
            <w:left w:val="none" w:sz="0" w:space="0" w:color="auto"/>
            <w:bottom w:val="none" w:sz="0" w:space="0" w:color="auto"/>
            <w:right w:val="none" w:sz="0" w:space="0" w:color="auto"/>
          </w:divBdr>
        </w:div>
        <w:div w:id="1561401339">
          <w:marLeft w:val="0"/>
          <w:marRight w:val="0"/>
          <w:marTop w:val="0"/>
          <w:marBottom w:val="0"/>
          <w:divBdr>
            <w:top w:val="none" w:sz="0" w:space="0" w:color="auto"/>
            <w:left w:val="none" w:sz="0" w:space="0" w:color="auto"/>
            <w:bottom w:val="none" w:sz="0" w:space="0" w:color="auto"/>
            <w:right w:val="none" w:sz="0" w:space="0" w:color="auto"/>
          </w:divBdr>
        </w:div>
        <w:div w:id="1564219207">
          <w:marLeft w:val="0"/>
          <w:marRight w:val="0"/>
          <w:marTop w:val="0"/>
          <w:marBottom w:val="0"/>
          <w:divBdr>
            <w:top w:val="none" w:sz="0" w:space="0" w:color="auto"/>
            <w:left w:val="none" w:sz="0" w:space="0" w:color="auto"/>
            <w:bottom w:val="none" w:sz="0" w:space="0" w:color="auto"/>
            <w:right w:val="none" w:sz="0" w:space="0" w:color="auto"/>
          </w:divBdr>
        </w:div>
        <w:div w:id="1580212103">
          <w:marLeft w:val="0"/>
          <w:marRight w:val="0"/>
          <w:marTop w:val="0"/>
          <w:marBottom w:val="0"/>
          <w:divBdr>
            <w:top w:val="none" w:sz="0" w:space="0" w:color="auto"/>
            <w:left w:val="none" w:sz="0" w:space="0" w:color="auto"/>
            <w:bottom w:val="none" w:sz="0" w:space="0" w:color="auto"/>
            <w:right w:val="none" w:sz="0" w:space="0" w:color="auto"/>
          </w:divBdr>
        </w:div>
        <w:div w:id="1581022704">
          <w:marLeft w:val="0"/>
          <w:marRight w:val="0"/>
          <w:marTop w:val="0"/>
          <w:marBottom w:val="0"/>
          <w:divBdr>
            <w:top w:val="none" w:sz="0" w:space="0" w:color="auto"/>
            <w:left w:val="none" w:sz="0" w:space="0" w:color="auto"/>
            <w:bottom w:val="none" w:sz="0" w:space="0" w:color="auto"/>
            <w:right w:val="none" w:sz="0" w:space="0" w:color="auto"/>
          </w:divBdr>
        </w:div>
        <w:div w:id="1582448299">
          <w:marLeft w:val="0"/>
          <w:marRight w:val="0"/>
          <w:marTop w:val="0"/>
          <w:marBottom w:val="0"/>
          <w:divBdr>
            <w:top w:val="none" w:sz="0" w:space="0" w:color="auto"/>
            <w:left w:val="none" w:sz="0" w:space="0" w:color="auto"/>
            <w:bottom w:val="none" w:sz="0" w:space="0" w:color="auto"/>
            <w:right w:val="none" w:sz="0" w:space="0" w:color="auto"/>
          </w:divBdr>
        </w:div>
        <w:div w:id="1595360242">
          <w:marLeft w:val="0"/>
          <w:marRight w:val="0"/>
          <w:marTop w:val="0"/>
          <w:marBottom w:val="0"/>
          <w:divBdr>
            <w:top w:val="none" w:sz="0" w:space="0" w:color="auto"/>
            <w:left w:val="none" w:sz="0" w:space="0" w:color="auto"/>
            <w:bottom w:val="none" w:sz="0" w:space="0" w:color="auto"/>
            <w:right w:val="none" w:sz="0" w:space="0" w:color="auto"/>
          </w:divBdr>
        </w:div>
        <w:div w:id="1604219088">
          <w:marLeft w:val="0"/>
          <w:marRight w:val="0"/>
          <w:marTop w:val="0"/>
          <w:marBottom w:val="0"/>
          <w:divBdr>
            <w:top w:val="none" w:sz="0" w:space="0" w:color="auto"/>
            <w:left w:val="none" w:sz="0" w:space="0" w:color="auto"/>
            <w:bottom w:val="none" w:sz="0" w:space="0" w:color="auto"/>
            <w:right w:val="none" w:sz="0" w:space="0" w:color="auto"/>
          </w:divBdr>
        </w:div>
        <w:div w:id="1605377343">
          <w:marLeft w:val="0"/>
          <w:marRight w:val="0"/>
          <w:marTop w:val="0"/>
          <w:marBottom w:val="0"/>
          <w:divBdr>
            <w:top w:val="none" w:sz="0" w:space="0" w:color="auto"/>
            <w:left w:val="none" w:sz="0" w:space="0" w:color="auto"/>
            <w:bottom w:val="none" w:sz="0" w:space="0" w:color="auto"/>
            <w:right w:val="none" w:sz="0" w:space="0" w:color="auto"/>
          </w:divBdr>
        </w:div>
        <w:div w:id="1608923134">
          <w:marLeft w:val="0"/>
          <w:marRight w:val="0"/>
          <w:marTop w:val="0"/>
          <w:marBottom w:val="0"/>
          <w:divBdr>
            <w:top w:val="none" w:sz="0" w:space="0" w:color="auto"/>
            <w:left w:val="none" w:sz="0" w:space="0" w:color="auto"/>
            <w:bottom w:val="none" w:sz="0" w:space="0" w:color="auto"/>
            <w:right w:val="none" w:sz="0" w:space="0" w:color="auto"/>
          </w:divBdr>
        </w:div>
        <w:div w:id="1630889904">
          <w:marLeft w:val="0"/>
          <w:marRight w:val="0"/>
          <w:marTop w:val="0"/>
          <w:marBottom w:val="0"/>
          <w:divBdr>
            <w:top w:val="none" w:sz="0" w:space="0" w:color="auto"/>
            <w:left w:val="none" w:sz="0" w:space="0" w:color="auto"/>
            <w:bottom w:val="none" w:sz="0" w:space="0" w:color="auto"/>
            <w:right w:val="none" w:sz="0" w:space="0" w:color="auto"/>
          </w:divBdr>
        </w:div>
        <w:div w:id="1638685703">
          <w:marLeft w:val="0"/>
          <w:marRight w:val="0"/>
          <w:marTop w:val="0"/>
          <w:marBottom w:val="0"/>
          <w:divBdr>
            <w:top w:val="none" w:sz="0" w:space="0" w:color="auto"/>
            <w:left w:val="none" w:sz="0" w:space="0" w:color="auto"/>
            <w:bottom w:val="none" w:sz="0" w:space="0" w:color="auto"/>
            <w:right w:val="none" w:sz="0" w:space="0" w:color="auto"/>
          </w:divBdr>
        </w:div>
        <w:div w:id="1650744221">
          <w:marLeft w:val="0"/>
          <w:marRight w:val="0"/>
          <w:marTop w:val="0"/>
          <w:marBottom w:val="0"/>
          <w:divBdr>
            <w:top w:val="none" w:sz="0" w:space="0" w:color="auto"/>
            <w:left w:val="none" w:sz="0" w:space="0" w:color="auto"/>
            <w:bottom w:val="none" w:sz="0" w:space="0" w:color="auto"/>
            <w:right w:val="none" w:sz="0" w:space="0" w:color="auto"/>
          </w:divBdr>
        </w:div>
        <w:div w:id="1696730768">
          <w:marLeft w:val="0"/>
          <w:marRight w:val="0"/>
          <w:marTop w:val="0"/>
          <w:marBottom w:val="0"/>
          <w:divBdr>
            <w:top w:val="none" w:sz="0" w:space="0" w:color="auto"/>
            <w:left w:val="none" w:sz="0" w:space="0" w:color="auto"/>
            <w:bottom w:val="none" w:sz="0" w:space="0" w:color="auto"/>
            <w:right w:val="none" w:sz="0" w:space="0" w:color="auto"/>
          </w:divBdr>
        </w:div>
        <w:div w:id="1707559113">
          <w:marLeft w:val="0"/>
          <w:marRight w:val="0"/>
          <w:marTop w:val="0"/>
          <w:marBottom w:val="0"/>
          <w:divBdr>
            <w:top w:val="none" w:sz="0" w:space="0" w:color="auto"/>
            <w:left w:val="none" w:sz="0" w:space="0" w:color="auto"/>
            <w:bottom w:val="none" w:sz="0" w:space="0" w:color="auto"/>
            <w:right w:val="none" w:sz="0" w:space="0" w:color="auto"/>
          </w:divBdr>
        </w:div>
        <w:div w:id="1721783844">
          <w:marLeft w:val="0"/>
          <w:marRight w:val="0"/>
          <w:marTop w:val="0"/>
          <w:marBottom w:val="0"/>
          <w:divBdr>
            <w:top w:val="none" w:sz="0" w:space="0" w:color="auto"/>
            <w:left w:val="none" w:sz="0" w:space="0" w:color="auto"/>
            <w:bottom w:val="none" w:sz="0" w:space="0" w:color="auto"/>
            <w:right w:val="none" w:sz="0" w:space="0" w:color="auto"/>
          </w:divBdr>
        </w:div>
        <w:div w:id="1755859129">
          <w:marLeft w:val="0"/>
          <w:marRight w:val="0"/>
          <w:marTop w:val="0"/>
          <w:marBottom w:val="0"/>
          <w:divBdr>
            <w:top w:val="none" w:sz="0" w:space="0" w:color="auto"/>
            <w:left w:val="none" w:sz="0" w:space="0" w:color="auto"/>
            <w:bottom w:val="none" w:sz="0" w:space="0" w:color="auto"/>
            <w:right w:val="none" w:sz="0" w:space="0" w:color="auto"/>
          </w:divBdr>
        </w:div>
        <w:div w:id="1761632659">
          <w:marLeft w:val="0"/>
          <w:marRight w:val="0"/>
          <w:marTop w:val="0"/>
          <w:marBottom w:val="0"/>
          <w:divBdr>
            <w:top w:val="none" w:sz="0" w:space="0" w:color="auto"/>
            <w:left w:val="none" w:sz="0" w:space="0" w:color="auto"/>
            <w:bottom w:val="none" w:sz="0" w:space="0" w:color="auto"/>
            <w:right w:val="none" w:sz="0" w:space="0" w:color="auto"/>
          </w:divBdr>
        </w:div>
        <w:div w:id="1772578617">
          <w:marLeft w:val="0"/>
          <w:marRight w:val="0"/>
          <w:marTop w:val="0"/>
          <w:marBottom w:val="0"/>
          <w:divBdr>
            <w:top w:val="none" w:sz="0" w:space="0" w:color="auto"/>
            <w:left w:val="none" w:sz="0" w:space="0" w:color="auto"/>
            <w:bottom w:val="none" w:sz="0" w:space="0" w:color="auto"/>
            <w:right w:val="none" w:sz="0" w:space="0" w:color="auto"/>
          </w:divBdr>
        </w:div>
        <w:div w:id="1773166717">
          <w:marLeft w:val="0"/>
          <w:marRight w:val="0"/>
          <w:marTop w:val="0"/>
          <w:marBottom w:val="0"/>
          <w:divBdr>
            <w:top w:val="none" w:sz="0" w:space="0" w:color="auto"/>
            <w:left w:val="none" w:sz="0" w:space="0" w:color="auto"/>
            <w:bottom w:val="none" w:sz="0" w:space="0" w:color="auto"/>
            <w:right w:val="none" w:sz="0" w:space="0" w:color="auto"/>
          </w:divBdr>
        </w:div>
        <w:div w:id="1779831634">
          <w:marLeft w:val="0"/>
          <w:marRight w:val="0"/>
          <w:marTop w:val="0"/>
          <w:marBottom w:val="0"/>
          <w:divBdr>
            <w:top w:val="none" w:sz="0" w:space="0" w:color="auto"/>
            <w:left w:val="none" w:sz="0" w:space="0" w:color="auto"/>
            <w:bottom w:val="none" w:sz="0" w:space="0" w:color="auto"/>
            <w:right w:val="none" w:sz="0" w:space="0" w:color="auto"/>
          </w:divBdr>
        </w:div>
        <w:div w:id="1796174967">
          <w:marLeft w:val="0"/>
          <w:marRight w:val="0"/>
          <w:marTop w:val="0"/>
          <w:marBottom w:val="0"/>
          <w:divBdr>
            <w:top w:val="none" w:sz="0" w:space="0" w:color="auto"/>
            <w:left w:val="none" w:sz="0" w:space="0" w:color="auto"/>
            <w:bottom w:val="none" w:sz="0" w:space="0" w:color="auto"/>
            <w:right w:val="none" w:sz="0" w:space="0" w:color="auto"/>
          </w:divBdr>
        </w:div>
        <w:div w:id="1813787279">
          <w:marLeft w:val="0"/>
          <w:marRight w:val="0"/>
          <w:marTop w:val="0"/>
          <w:marBottom w:val="0"/>
          <w:divBdr>
            <w:top w:val="none" w:sz="0" w:space="0" w:color="auto"/>
            <w:left w:val="none" w:sz="0" w:space="0" w:color="auto"/>
            <w:bottom w:val="none" w:sz="0" w:space="0" w:color="auto"/>
            <w:right w:val="none" w:sz="0" w:space="0" w:color="auto"/>
          </w:divBdr>
        </w:div>
        <w:div w:id="1829398824">
          <w:marLeft w:val="0"/>
          <w:marRight w:val="0"/>
          <w:marTop w:val="0"/>
          <w:marBottom w:val="0"/>
          <w:divBdr>
            <w:top w:val="none" w:sz="0" w:space="0" w:color="auto"/>
            <w:left w:val="none" w:sz="0" w:space="0" w:color="auto"/>
            <w:bottom w:val="none" w:sz="0" w:space="0" w:color="auto"/>
            <w:right w:val="none" w:sz="0" w:space="0" w:color="auto"/>
          </w:divBdr>
        </w:div>
        <w:div w:id="1847789970">
          <w:marLeft w:val="0"/>
          <w:marRight w:val="0"/>
          <w:marTop w:val="0"/>
          <w:marBottom w:val="0"/>
          <w:divBdr>
            <w:top w:val="none" w:sz="0" w:space="0" w:color="auto"/>
            <w:left w:val="none" w:sz="0" w:space="0" w:color="auto"/>
            <w:bottom w:val="none" w:sz="0" w:space="0" w:color="auto"/>
            <w:right w:val="none" w:sz="0" w:space="0" w:color="auto"/>
          </w:divBdr>
        </w:div>
        <w:div w:id="1849057959">
          <w:marLeft w:val="0"/>
          <w:marRight w:val="0"/>
          <w:marTop w:val="0"/>
          <w:marBottom w:val="0"/>
          <w:divBdr>
            <w:top w:val="none" w:sz="0" w:space="0" w:color="auto"/>
            <w:left w:val="none" w:sz="0" w:space="0" w:color="auto"/>
            <w:bottom w:val="none" w:sz="0" w:space="0" w:color="auto"/>
            <w:right w:val="none" w:sz="0" w:space="0" w:color="auto"/>
          </w:divBdr>
        </w:div>
        <w:div w:id="1857423022">
          <w:marLeft w:val="0"/>
          <w:marRight w:val="0"/>
          <w:marTop w:val="0"/>
          <w:marBottom w:val="0"/>
          <w:divBdr>
            <w:top w:val="none" w:sz="0" w:space="0" w:color="auto"/>
            <w:left w:val="none" w:sz="0" w:space="0" w:color="auto"/>
            <w:bottom w:val="none" w:sz="0" w:space="0" w:color="auto"/>
            <w:right w:val="none" w:sz="0" w:space="0" w:color="auto"/>
          </w:divBdr>
        </w:div>
        <w:div w:id="1858502347">
          <w:marLeft w:val="0"/>
          <w:marRight w:val="0"/>
          <w:marTop w:val="0"/>
          <w:marBottom w:val="0"/>
          <w:divBdr>
            <w:top w:val="none" w:sz="0" w:space="0" w:color="auto"/>
            <w:left w:val="none" w:sz="0" w:space="0" w:color="auto"/>
            <w:bottom w:val="none" w:sz="0" w:space="0" w:color="auto"/>
            <w:right w:val="none" w:sz="0" w:space="0" w:color="auto"/>
          </w:divBdr>
        </w:div>
        <w:div w:id="1860971009">
          <w:marLeft w:val="0"/>
          <w:marRight w:val="0"/>
          <w:marTop w:val="0"/>
          <w:marBottom w:val="0"/>
          <w:divBdr>
            <w:top w:val="none" w:sz="0" w:space="0" w:color="auto"/>
            <w:left w:val="none" w:sz="0" w:space="0" w:color="auto"/>
            <w:bottom w:val="none" w:sz="0" w:space="0" w:color="auto"/>
            <w:right w:val="none" w:sz="0" w:space="0" w:color="auto"/>
          </w:divBdr>
        </w:div>
        <w:div w:id="1863661969">
          <w:marLeft w:val="0"/>
          <w:marRight w:val="0"/>
          <w:marTop w:val="0"/>
          <w:marBottom w:val="0"/>
          <w:divBdr>
            <w:top w:val="none" w:sz="0" w:space="0" w:color="auto"/>
            <w:left w:val="none" w:sz="0" w:space="0" w:color="auto"/>
            <w:bottom w:val="none" w:sz="0" w:space="0" w:color="auto"/>
            <w:right w:val="none" w:sz="0" w:space="0" w:color="auto"/>
          </w:divBdr>
        </w:div>
        <w:div w:id="1863744078">
          <w:marLeft w:val="0"/>
          <w:marRight w:val="0"/>
          <w:marTop w:val="0"/>
          <w:marBottom w:val="0"/>
          <w:divBdr>
            <w:top w:val="none" w:sz="0" w:space="0" w:color="auto"/>
            <w:left w:val="none" w:sz="0" w:space="0" w:color="auto"/>
            <w:bottom w:val="none" w:sz="0" w:space="0" w:color="auto"/>
            <w:right w:val="none" w:sz="0" w:space="0" w:color="auto"/>
          </w:divBdr>
        </w:div>
        <w:div w:id="1869678633">
          <w:marLeft w:val="0"/>
          <w:marRight w:val="0"/>
          <w:marTop w:val="0"/>
          <w:marBottom w:val="0"/>
          <w:divBdr>
            <w:top w:val="none" w:sz="0" w:space="0" w:color="auto"/>
            <w:left w:val="none" w:sz="0" w:space="0" w:color="auto"/>
            <w:bottom w:val="none" w:sz="0" w:space="0" w:color="auto"/>
            <w:right w:val="none" w:sz="0" w:space="0" w:color="auto"/>
          </w:divBdr>
        </w:div>
        <w:div w:id="1879660594">
          <w:marLeft w:val="0"/>
          <w:marRight w:val="0"/>
          <w:marTop w:val="0"/>
          <w:marBottom w:val="0"/>
          <w:divBdr>
            <w:top w:val="none" w:sz="0" w:space="0" w:color="auto"/>
            <w:left w:val="none" w:sz="0" w:space="0" w:color="auto"/>
            <w:bottom w:val="none" w:sz="0" w:space="0" w:color="auto"/>
            <w:right w:val="none" w:sz="0" w:space="0" w:color="auto"/>
          </w:divBdr>
        </w:div>
        <w:div w:id="1897231458">
          <w:marLeft w:val="0"/>
          <w:marRight w:val="0"/>
          <w:marTop w:val="0"/>
          <w:marBottom w:val="0"/>
          <w:divBdr>
            <w:top w:val="none" w:sz="0" w:space="0" w:color="auto"/>
            <w:left w:val="none" w:sz="0" w:space="0" w:color="auto"/>
            <w:bottom w:val="none" w:sz="0" w:space="0" w:color="auto"/>
            <w:right w:val="none" w:sz="0" w:space="0" w:color="auto"/>
          </w:divBdr>
        </w:div>
        <w:div w:id="1913194125">
          <w:marLeft w:val="0"/>
          <w:marRight w:val="0"/>
          <w:marTop w:val="0"/>
          <w:marBottom w:val="0"/>
          <w:divBdr>
            <w:top w:val="none" w:sz="0" w:space="0" w:color="auto"/>
            <w:left w:val="none" w:sz="0" w:space="0" w:color="auto"/>
            <w:bottom w:val="none" w:sz="0" w:space="0" w:color="auto"/>
            <w:right w:val="none" w:sz="0" w:space="0" w:color="auto"/>
          </w:divBdr>
        </w:div>
        <w:div w:id="1923685604">
          <w:marLeft w:val="0"/>
          <w:marRight w:val="0"/>
          <w:marTop w:val="0"/>
          <w:marBottom w:val="0"/>
          <w:divBdr>
            <w:top w:val="none" w:sz="0" w:space="0" w:color="auto"/>
            <w:left w:val="none" w:sz="0" w:space="0" w:color="auto"/>
            <w:bottom w:val="none" w:sz="0" w:space="0" w:color="auto"/>
            <w:right w:val="none" w:sz="0" w:space="0" w:color="auto"/>
          </w:divBdr>
        </w:div>
        <w:div w:id="1927415834">
          <w:marLeft w:val="0"/>
          <w:marRight w:val="0"/>
          <w:marTop w:val="0"/>
          <w:marBottom w:val="0"/>
          <w:divBdr>
            <w:top w:val="none" w:sz="0" w:space="0" w:color="auto"/>
            <w:left w:val="none" w:sz="0" w:space="0" w:color="auto"/>
            <w:bottom w:val="none" w:sz="0" w:space="0" w:color="auto"/>
            <w:right w:val="none" w:sz="0" w:space="0" w:color="auto"/>
          </w:divBdr>
        </w:div>
        <w:div w:id="1941133418">
          <w:marLeft w:val="0"/>
          <w:marRight w:val="0"/>
          <w:marTop w:val="0"/>
          <w:marBottom w:val="0"/>
          <w:divBdr>
            <w:top w:val="none" w:sz="0" w:space="0" w:color="auto"/>
            <w:left w:val="none" w:sz="0" w:space="0" w:color="auto"/>
            <w:bottom w:val="none" w:sz="0" w:space="0" w:color="auto"/>
            <w:right w:val="none" w:sz="0" w:space="0" w:color="auto"/>
          </w:divBdr>
        </w:div>
        <w:div w:id="1944922475">
          <w:marLeft w:val="0"/>
          <w:marRight w:val="0"/>
          <w:marTop w:val="0"/>
          <w:marBottom w:val="0"/>
          <w:divBdr>
            <w:top w:val="none" w:sz="0" w:space="0" w:color="auto"/>
            <w:left w:val="none" w:sz="0" w:space="0" w:color="auto"/>
            <w:bottom w:val="none" w:sz="0" w:space="0" w:color="auto"/>
            <w:right w:val="none" w:sz="0" w:space="0" w:color="auto"/>
          </w:divBdr>
        </w:div>
        <w:div w:id="2005356174">
          <w:marLeft w:val="0"/>
          <w:marRight w:val="0"/>
          <w:marTop w:val="0"/>
          <w:marBottom w:val="0"/>
          <w:divBdr>
            <w:top w:val="none" w:sz="0" w:space="0" w:color="auto"/>
            <w:left w:val="none" w:sz="0" w:space="0" w:color="auto"/>
            <w:bottom w:val="none" w:sz="0" w:space="0" w:color="auto"/>
            <w:right w:val="none" w:sz="0" w:space="0" w:color="auto"/>
          </w:divBdr>
        </w:div>
        <w:div w:id="2029864163">
          <w:marLeft w:val="0"/>
          <w:marRight w:val="0"/>
          <w:marTop w:val="0"/>
          <w:marBottom w:val="0"/>
          <w:divBdr>
            <w:top w:val="none" w:sz="0" w:space="0" w:color="auto"/>
            <w:left w:val="none" w:sz="0" w:space="0" w:color="auto"/>
            <w:bottom w:val="none" w:sz="0" w:space="0" w:color="auto"/>
            <w:right w:val="none" w:sz="0" w:space="0" w:color="auto"/>
          </w:divBdr>
        </w:div>
        <w:div w:id="2043940070">
          <w:marLeft w:val="0"/>
          <w:marRight w:val="0"/>
          <w:marTop w:val="0"/>
          <w:marBottom w:val="0"/>
          <w:divBdr>
            <w:top w:val="none" w:sz="0" w:space="0" w:color="auto"/>
            <w:left w:val="none" w:sz="0" w:space="0" w:color="auto"/>
            <w:bottom w:val="none" w:sz="0" w:space="0" w:color="auto"/>
            <w:right w:val="none" w:sz="0" w:space="0" w:color="auto"/>
          </w:divBdr>
        </w:div>
        <w:div w:id="2056851379">
          <w:marLeft w:val="0"/>
          <w:marRight w:val="0"/>
          <w:marTop w:val="0"/>
          <w:marBottom w:val="0"/>
          <w:divBdr>
            <w:top w:val="none" w:sz="0" w:space="0" w:color="auto"/>
            <w:left w:val="none" w:sz="0" w:space="0" w:color="auto"/>
            <w:bottom w:val="none" w:sz="0" w:space="0" w:color="auto"/>
            <w:right w:val="none" w:sz="0" w:space="0" w:color="auto"/>
          </w:divBdr>
        </w:div>
        <w:div w:id="2060009828">
          <w:marLeft w:val="0"/>
          <w:marRight w:val="0"/>
          <w:marTop w:val="0"/>
          <w:marBottom w:val="0"/>
          <w:divBdr>
            <w:top w:val="none" w:sz="0" w:space="0" w:color="auto"/>
            <w:left w:val="none" w:sz="0" w:space="0" w:color="auto"/>
            <w:bottom w:val="none" w:sz="0" w:space="0" w:color="auto"/>
            <w:right w:val="none" w:sz="0" w:space="0" w:color="auto"/>
          </w:divBdr>
        </w:div>
        <w:div w:id="2067608201">
          <w:marLeft w:val="0"/>
          <w:marRight w:val="0"/>
          <w:marTop w:val="0"/>
          <w:marBottom w:val="0"/>
          <w:divBdr>
            <w:top w:val="none" w:sz="0" w:space="0" w:color="auto"/>
            <w:left w:val="none" w:sz="0" w:space="0" w:color="auto"/>
            <w:bottom w:val="none" w:sz="0" w:space="0" w:color="auto"/>
            <w:right w:val="none" w:sz="0" w:space="0" w:color="auto"/>
          </w:divBdr>
        </w:div>
        <w:div w:id="2083717215">
          <w:marLeft w:val="0"/>
          <w:marRight w:val="0"/>
          <w:marTop w:val="0"/>
          <w:marBottom w:val="0"/>
          <w:divBdr>
            <w:top w:val="none" w:sz="0" w:space="0" w:color="auto"/>
            <w:left w:val="none" w:sz="0" w:space="0" w:color="auto"/>
            <w:bottom w:val="none" w:sz="0" w:space="0" w:color="auto"/>
            <w:right w:val="none" w:sz="0" w:space="0" w:color="auto"/>
          </w:divBdr>
        </w:div>
        <w:div w:id="2120367153">
          <w:marLeft w:val="0"/>
          <w:marRight w:val="0"/>
          <w:marTop w:val="0"/>
          <w:marBottom w:val="0"/>
          <w:divBdr>
            <w:top w:val="none" w:sz="0" w:space="0" w:color="auto"/>
            <w:left w:val="none" w:sz="0" w:space="0" w:color="auto"/>
            <w:bottom w:val="none" w:sz="0" w:space="0" w:color="auto"/>
            <w:right w:val="none" w:sz="0" w:space="0" w:color="auto"/>
          </w:divBdr>
        </w:div>
        <w:div w:id="2126190745">
          <w:marLeft w:val="0"/>
          <w:marRight w:val="0"/>
          <w:marTop w:val="0"/>
          <w:marBottom w:val="0"/>
          <w:divBdr>
            <w:top w:val="none" w:sz="0" w:space="0" w:color="auto"/>
            <w:left w:val="none" w:sz="0" w:space="0" w:color="auto"/>
            <w:bottom w:val="none" w:sz="0" w:space="0" w:color="auto"/>
            <w:right w:val="none" w:sz="0" w:space="0" w:color="auto"/>
          </w:divBdr>
        </w:div>
        <w:div w:id="2126608801">
          <w:marLeft w:val="0"/>
          <w:marRight w:val="0"/>
          <w:marTop w:val="0"/>
          <w:marBottom w:val="0"/>
          <w:divBdr>
            <w:top w:val="none" w:sz="0" w:space="0" w:color="auto"/>
            <w:left w:val="none" w:sz="0" w:space="0" w:color="auto"/>
            <w:bottom w:val="none" w:sz="0" w:space="0" w:color="auto"/>
            <w:right w:val="none" w:sz="0" w:space="0" w:color="auto"/>
          </w:divBdr>
        </w:div>
        <w:div w:id="2128692960">
          <w:marLeft w:val="0"/>
          <w:marRight w:val="0"/>
          <w:marTop w:val="0"/>
          <w:marBottom w:val="0"/>
          <w:divBdr>
            <w:top w:val="none" w:sz="0" w:space="0" w:color="auto"/>
            <w:left w:val="none" w:sz="0" w:space="0" w:color="auto"/>
            <w:bottom w:val="none" w:sz="0" w:space="0" w:color="auto"/>
            <w:right w:val="none" w:sz="0" w:space="0" w:color="auto"/>
          </w:divBdr>
        </w:div>
        <w:div w:id="2134322335">
          <w:marLeft w:val="0"/>
          <w:marRight w:val="0"/>
          <w:marTop w:val="0"/>
          <w:marBottom w:val="0"/>
          <w:divBdr>
            <w:top w:val="none" w:sz="0" w:space="0" w:color="auto"/>
            <w:left w:val="none" w:sz="0" w:space="0" w:color="auto"/>
            <w:bottom w:val="none" w:sz="0" w:space="0" w:color="auto"/>
            <w:right w:val="none" w:sz="0" w:space="0" w:color="auto"/>
          </w:divBdr>
        </w:div>
        <w:div w:id="2147121094">
          <w:marLeft w:val="0"/>
          <w:marRight w:val="0"/>
          <w:marTop w:val="0"/>
          <w:marBottom w:val="0"/>
          <w:divBdr>
            <w:top w:val="none" w:sz="0" w:space="0" w:color="auto"/>
            <w:left w:val="none" w:sz="0" w:space="0" w:color="auto"/>
            <w:bottom w:val="none" w:sz="0" w:space="0" w:color="auto"/>
            <w:right w:val="none" w:sz="0" w:space="0" w:color="auto"/>
          </w:divBdr>
        </w:div>
      </w:divsChild>
    </w:div>
    <w:div w:id="1334919077">
      <w:bodyDiv w:val="1"/>
      <w:marLeft w:val="0"/>
      <w:marRight w:val="0"/>
      <w:marTop w:val="0"/>
      <w:marBottom w:val="0"/>
      <w:divBdr>
        <w:top w:val="none" w:sz="0" w:space="0" w:color="auto"/>
        <w:left w:val="none" w:sz="0" w:space="0" w:color="auto"/>
        <w:bottom w:val="none" w:sz="0" w:space="0" w:color="auto"/>
        <w:right w:val="none" w:sz="0" w:space="0" w:color="auto"/>
      </w:divBdr>
    </w:div>
    <w:div w:id="1424572572">
      <w:bodyDiv w:val="1"/>
      <w:marLeft w:val="0"/>
      <w:marRight w:val="0"/>
      <w:marTop w:val="0"/>
      <w:marBottom w:val="0"/>
      <w:divBdr>
        <w:top w:val="none" w:sz="0" w:space="0" w:color="auto"/>
        <w:left w:val="none" w:sz="0" w:space="0" w:color="auto"/>
        <w:bottom w:val="none" w:sz="0" w:space="0" w:color="auto"/>
        <w:right w:val="none" w:sz="0" w:space="0" w:color="auto"/>
      </w:divBdr>
      <w:divsChild>
        <w:div w:id="143277563">
          <w:marLeft w:val="0"/>
          <w:marRight w:val="0"/>
          <w:marTop w:val="0"/>
          <w:marBottom w:val="0"/>
          <w:divBdr>
            <w:top w:val="none" w:sz="0" w:space="0" w:color="auto"/>
            <w:left w:val="none" w:sz="0" w:space="0" w:color="auto"/>
            <w:bottom w:val="none" w:sz="0" w:space="0" w:color="auto"/>
            <w:right w:val="none" w:sz="0" w:space="0" w:color="auto"/>
          </w:divBdr>
          <w:divsChild>
            <w:div w:id="1641494542">
              <w:marLeft w:val="0"/>
              <w:marRight w:val="0"/>
              <w:marTop w:val="0"/>
              <w:marBottom w:val="0"/>
              <w:divBdr>
                <w:top w:val="none" w:sz="0" w:space="0" w:color="auto"/>
                <w:left w:val="none" w:sz="0" w:space="0" w:color="auto"/>
                <w:bottom w:val="none" w:sz="0" w:space="0" w:color="auto"/>
                <w:right w:val="none" w:sz="0" w:space="0" w:color="auto"/>
              </w:divBdr>
              <w:divsChild>
                <w:div w:id="1034305072">
                  <w:marLeft w:val="0"/>
                  <w:marRight w:val="0"/>
                  <w:marTop w:val="0"/>
                  <w:marBottom w:val="0"/>
                  <w:divBdr>
                    <w:top w:val="none" w:sz="0" w:space="0" w:color="auto"/>
                    <w:left w:val="none" w:sz="0" w:space="0" w:color="auto"/>
                    <w:bottom w:val="none" w:sz="0" w:space="0" w:color="auto"/>
                    <w:right w:val="none" w:sz="0" w:space="0" w:color="auto"/>
                  </w:divBdr>
                  <w:divsChild>
                    <w:div w:id="7454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3926">
      <w:bodyDiv w:val="1"/>
      <w:marLeft w:val="0"/>
      <w:marRight w:val="0"/>
      <w:marTop w:val="0"/>
      <w:marBottom w:val="0"/>
      <w:divBdr>
        <w:top w:val="none" w:sz="0" w:space="0" w:color="auto"/>
        <w:left w:val="none" w:sz="0" w:space="0" w:color="auto"/>
        <w:bottom w:val="none" w:sz="0" w:space="0" w:color="auto"/>
        <w:right w:val="none" w:sz="0" w:space="0" w:color="auto"/>
      </w:divBdr>
    </w:div>
    <w:div w:id="1493327306">
      <w:bodyDiv w:val="1"/>
      <w:marLeft w:val="0"/>
      <w:marRight w:val="0"/>
      <w:marTop w:val="0"/>
      <w:marBottom w:val="0"/>
      <w:divBdr>
        <w:top w:val="none" w:sz="0" w:space="0" w:color="auto"/>
        <w:left w:val="none" w:sz="0" w:space="0" w:color="auto"/>
        <w:bottom w:val="none" w:sz="0" w:space="0" w:color="auto"/>
        <w:right w:val="none" w:sz="0" w:space="0" w:color="auto"/>
      </w:divBdr>
    </w:div>
    <w:div w:id="1623921236">
      <w:bodyDiv w:val="1"/>
      <w:marLeft w:val="0"/>
      <w:marRight w:val="0"/>
      <w:marTop w:val="0"/>
      <w:marBottom w:val="0"/>
      <w:divBdr>
        <w:top w:val="none" w:sz="0" w:space="0" w:color="auto"/>
        <w:left w:val="none" w:sz="0" w:space="0" w:color="auto"/>
        <w:bottom w:val="none" w:sz="0" w:space="0" w:color="auto"/>
        <w:right w:val="none" w:sz="0" w:space="0" w:color="auto"/>
      </w:divBdr>
      <w:divsChild>
        <w:div w:id="2245930">
          <w:marLeft w:val="0"/>
          <w:marRight w:val="0"/>
          <w:marTop w:val="0"/>
          <w:marBottom w:val="0"/>
          <w:divBdr>
            <w:top w:val="none" w:sz="0" w:space="0" w:color="auto"/>
            <w:left w:val="none" w:sz="0" w:space="0" w:color="auto"/>
            <w:bottom w:val="none" w:sz="0" w:space="0" w:color="auto"/>
            <w:right w:val="none" w:sz="0" w:space="0" w:color="auto"/>
          </w:divBdr>
        </w:div>
        <w:div w:id="102456666">
          <w:marLeft w:val="0"/>
          <w:marRight w:val="0"/>
          <w:marTop w:val="0"/>
          <w:marBottom w:val="0"/>
          <w:divBdr>
            <w:top w:val="none" w:sz="0" w:space="0" w:color="auto"/>
            <w:left w:val="none" w:sz="0" w:space="0" w:color="auto"/>
            <w:bottom w:val="none" w:sz="0" w:space="0" w:color="auto"/>
            <w:right w:val="none" w:sz="0" w:space="0" w:color="auto"/>
          </w:divBdr>
        </w:div>
        <w:div w:id="1594702105">
          <w:marLeft w:val="0"/>
          <w:marRight w:val="0"/>
          <w:marTop w:val="0"/>
          <w:marBottom w:val="0"/>
          <w:divBdr>
            <w:top w:val="none" w:sz="0" w:space="0" w:color="auto"/>
            <w:left w:val="none" w:sz="0" w:space="0" w:color="auto"/>
            <w:bottom w:val="none" w:sz="0" w:space="0" w:color="auto"/>
            <w:right w:val="none" w:sz="0" w:space="0" w:color="auto"/>
          </w:divBdr>
        </w:div>
        <w:div w:id="2084328036">
          <w:marLeft w:val="0"/>
          <w:marRight w:val="0"/>
          <w:marTop w:val="0"/>
          <w:marBottom w:val="0"/>
          <w:divBdr>
            <w:top w:val="none" w:sz="0" w:space="0" w:color="auto"/>
            <w:left w:val="none" w:sz="0" w:space="0" w:color="auto"/>
            <w:bottom w:val="none" w:sz="0" w:space="0" w:color="auto"/>
            <w:right w:val="none" w:sz="0" w:space="0" w:color="auto"/>
          </w:divBdr>
        </w:div>
      </w:divsChild>
    </w:div>
    <w:div w:id="1648126667">
      <w:bodyDiv w:val="1"/>
      <w:marLeft w:val="0"/>
      <w:marRight w:val="0"/>
      <w:marTop w:val="0"/>
      <w:marBottom w:val="0"/>
      <w:divBdr>
        <w:top w:val="none" w:sz="0" w:space="0" w:color="auto"/>
        <w:left w:val="none" w:sz="0" w:space="0" w:color="auto"/>
        <w:bottom w:val="none" w:sz="0" w:space="0" w:color="auto"/>
        <w:right w:val="none" w:sz="0" w:space="0" w:color="auto"/>
      </w:divBdr>
    </w:div>
    <w:div w:id="1675768882">
      <w:bodyDiv w:val="1"/>
      <w:marLeft w:val="0"/>
      <w:marRight w:val="0"/>
      <w:marTop w:val="0"/>
      <w:marBottom w:val="0"/>
      <w:divBdr>
        <w:top w:val="none" w:sz="0" w:space="0" w:color="auto"/>
        <w:left w:val="none" w:sz="0" w:space="0" w:color="auto"/>
        <w:bottom w:val="none" w:sz="0" w:space="0" w:color="auto"/>
        <w:right w:val="none" w:sz="0" w:space="0" w:color="auto"/>
      </w:divBdr>
    </w:div>
    <w:div w:id="1726178000">
      <w:bodyDiv w:val="1"/>
      <w:marLeft w:val="0"/>
      <w:marRight w:val="0"/>
      <w:marTop w:val="0"/>
      <w:marBottom w:val="0"/>
      <w:divBdr>
        <w:top w:val="none" w:sz="0" w:space="0" w:color="auto"/>
        <w:left w:val="none" w:sz="0" w:space="0" w:color="auto"/>
        <w:bottom w:val="none" w:sz="0" w:space="0" w:color="auto"/>
        <w:right w:val="none" w:sz="0" w:space="0" w:color="auto"/>
      </w:divBdr>
    </w:div>
    <w:div w:id="1776484802">
      <w:bodyDiv w:val="1"/>
      <w:marLeft w:val="0"/>
      <w:marRight w:val="0"/>
      <w:marTop w:val="0"/>
      <w:marBottom w:val="0"/>
      <w:divBdr>
        <w:top w:val="none" w:sz="0" w:space="0" w:color="auto"/>
        <w:left w:val="none" w:sz="0" w:space="0" w:color="auto"/>
        <w:bottom w:val="none" w:sz="0" w:space="0" w:color="auto"/>
        <w:right w:val="none" w:sz="0" w:space="0" w:color="auto"/>
      </w:divBdr>
    </w:div>
    <w:div w:id="1855070177">
      <w:bodyDiv w:val="1"/>
      <w:marLeft w:val="0"/>
      <w:marRight w:val="0"/>
      <w:marTop w:val="0"/>
      <w:marBottom w:val="0"/>
      <w:divBdr>
        <w:top w:val="none" w:sz="0" w:space="0" w:color="auto"/>
        <w:left w:val="none" w:sz="0" w:space="0" w:color="auto"/>
        <w:bottom w:val="none" w:sz="0" w:space="0" w:color="auto"/>
        <w:right w:val="none" w:sz="0" w:space="0" w:color="auto"/>
      </w:divBdr>
      <w:divsChild>
        <w:div w:id="21060036">
          <w:marLeft w:val="0"/>
          <w:marRight w:val="0"/>
          <w:marTop w:val="0"/>
          <w:marBottom w:val="0"/>
          <w:divBdr>
            <w:top w:val="none" w:sz="0" w:space="0" w:color="auto"/>
            <w:left w:val="none" w:sz="0" w:space="0" w:color="auto"/>
            <w:bottom w:val="none" w:sz="0" w:space="0" w:color="auto"/>
            <w:right w:val="none" w:sz="0" w:space="0" w:color="auto"/>
          </w:divBdr>
        </w:div>
        <w:div w:id="172843356">
          <w:marLeft w:val="0"/>
          <w:marRight w:val="0"/>
          <w:marTop w:val="0"/>
          <w:marBottom w:val="0"/>
          <w:divBdr>
            <w:top w:val="none" w:sz="0" w:space="0" w:color="auto"/>
            <w:left w:val="none" w:sz="0" w:space="0" w:color="auto"/>
            <w:bottom w:val="none" w:sz="0" w:space="0" w:color="auto"/>
            <w:right w:val="none" w:sz="0" w:space="0" w:color="auto"/>
          </w:divBdr>
        </w:div>
        <w:div w:id="425656616">
          <w:marLeft w:val="0"/>
          <w:marRight w:val="0"/>
          <w:marTop w:val="0"/>
          <w:marBottom w:val="0"/>
          <w:divBdr>
            <w:top w:val="none" w:sz="0" w:space="0" w:color="auto"/>
            <w:left w:val="none" w:sz="0" w:space="0" w:color="auto"/>
            <w:bottom w:val="none" w:sz="0" w:space="0" w:color="auto"/>
            <w:right w:val="none" w:sz="0" w:space="0" w:color="auto"/>
          </w:divBdr>
        </w:div>
        <w:div w:id="528642794">
          <w:marLeft w:val="0"/>
          <w:marRight w:val="0"/>
          <w:marTop w:val="0"/>
          <w:marBottom w:val="0"/>
          <w:divBdr>
            <w:top w:val="none" w:sz="0" w:space="0" w:color="auto"/>
            <w:left w:val="none" w:sz="0" w:space="0" w:color="auto"/>
            <w:bottom w:val="none" w:sz="0" w:space="0" w:color="auto"/>
            <w:right w:val="none" w:sz="0" w:space="0" w:color="auto"/>
          </w:divBdr>
        </w:div>
        <w:div w:id="676081101">
          <w:marLeft w:val="0"/>
          <w:marRight w:val="0"/>
          <w:marTop w:val="0"/>
          <w:marBottom w:val="0"/>
          <w:divBdr>
            <w:top w:val="none" w:sz="0" w:space="0" w:color="auto"/>
            <w:left w:val="none" w:sz="0" w:space="0" w:color="auto"/>
            <w:bottom w:val="none" w:sz="0" w:space="0" w:color="auto"/>
            <w:right w:val="none" w:sz="0" w:space="0" w:color="auto"/>
          </w:divBdr>
        </w:div>
        <w:div w:id="754089104">
          <w:marLeft w:val="0"/>
          <w:marRight w:val="0"/>
          <w:marTop w:val="0"/>
          <w:marBottom w:val="0"/>
          <w:divBdr>
            <w:top w:val="none" w:sz="0" w:space="0" w:color="auto"/>
            <w:left w:val="none" w:sz="0" w:space="0" w:color="auto"/>
            <w:bottom w:val="none" w:sz="0" w:space="0" w:color="auto"/>
            <w:right w:val="none" w:sz="0" w:space="0" w:color="auto"/>
          </w:divBdr>
        </w:div>
        <w:div w:id="771440444">
          <w:marLeft w:val="0"/>
          <w:marRight w:val="0"/>
          <w:marTop w:val="0"/>
          <w:marBottom w:val="0"/>
          <w:divBdr>
            <w:top w:val="none" w:sz="0" w:space="0" w:color="auto"/>
            <w:left w:val="none" w:sz="0" w:space="0" w:color="auto"/>
            <w:bottom w:val="none" w:sz="0" w:space="0" w:color="auto"/>
            <w:right w:val="none" w:sz="0" w:space="0" w:color="auto"/>
          </w:divBdr>
        </w:div>
        <w:div w:id="987367103">
          <w:marLeft w:val="0"/>
          <w:marRight w:val="0"/>
          <w:marTop w:val="0"/>
          <w:marBottom w:val="0"/>
          <w:divBdr>
            <w:top w:val="none" w:sz="0" w:space="0" w:color="auto"/>
            <w:left w:val="none" w:sz="0" w:space="0" w:color="auto"/>
            <w:bottom w:val="none" w:sz="0" w:space="0" w:color="auto"/>
            <w:right w:val="none" w:sz="0" w:space="0" w:color="auto"/>
          </w:divBdr>
        </w:div>
        <w:div w:id="1073351844">
          <w:marLeft w:val="0"/>
          <w:marRight w:val="0"/>
          <w:marTop w:val="0"/>
          <w:marBottom w:val="0"/>
          <w:divBdr>
            <w:top w:val="none" w:sz="0" w:space="0" w:color="auto"/>
            <w:left w:val="none" w:sz="0" w:space="0" w:color="auto"/>
            <w:bottom w:val="none" w:sz="0" w:space="0" w:color="auto"/>
            <w:right w:val="none" w:sz="0" w:space="0" w:color="auto"/>
          </w:divBdr>
        </w:div>
        <w:div w:id="1508668571">
          <w:marLeft w:val="0"/>
          <w:marRight w:val="0"/>
          <w:marTop w:val="0"/>
          <w:marBottom w:val="0"/>
          <w:divBdr>
            <w:top w:val="none" w:sz="0" w:space="0" w:color="auto"/>
            <w:left w:val="none" w:sz="0" w:space="0" w:color="auto"/>
            <w:bottom w:val="none" w:sz="0" w:space="0" w:color="auto"/>
            <w:right w:val="none" w:sz="0" w:space="0" w:color="auto"/>
          </w:divBdr>
        </w:div>
        <w:div w:id="1527989089">
          <w:marLeft w:val="0"/>
          <w:marRight w:val="0"/>
          <w:marTop w:val="0"/>
          <w:marBottom w:val="0"/>
          <w:divBdr>
            <w:top w:val="none" w:sz="0" w:space="0" w:color="auto"/>
            <w:left w:val="none" w:sz="0" w:space="0" w:color="auto"/>
            <w:bottom w:val="none" w:sz="0" w:space="0" w:color="auto"/>
            <w:right w:val="none" w:sz="0" w:space="0" w:color="auto"/>
          </w:divBdr>
        </w:div>
        <w:div w:id="1529873083">
          <w:marLeft w:val="0"/>
          <w:marRight w:val="0"/>
          <w:marTop w:val="0"/>
          <w:marBottom w:val="0"/>
          <w:divBdr>
            <w:top w:val="none" w:sz="0" w:space="0" w:color="auto"/>
            <w:left w:val="none" w:sz="0" w:space="0" w:color="auto"/>
            <w:bottom w:val="none" w:sz="0" w:space="0" w:color="auto"/>
            <w:right w:val="none" w:sz="0" w:space="0" w:color="auto"/>
          </w:divBdr>
        </w:div>
        <w:div w:id="1652905740">
          <w:marLeft w:val="0"/>
          <w:marRight w:val="0"/>
          <w:marTop w:val="0"/>
          <w:marBottom w:val="0"/>
          <w:divBdr>
            <w:top w:val="none" w:sz="0" w:space="0" w:color="auto"/>
            <w:left w:val="none" w:sz="0" w:space="0" w:color="auto"/>
            <w:bottom w:val="none" w:sz="0" w:space="0" w:color="auto"/>
            <w:right w:val="none" w:sz="0" w:space="0" w:color="auto"/>
          </w:divBdr>
        </w:div>
        <w:div w:id="1770005979">
          <w:marLeft w:val="0"/>
          <w:marRight w:val="0"/>
          <w:marTop w:val="0"/>
          <w:marBottom w:val="0"/>
          <w:divBdr>
            <w:top w:val="none" w:sz="0" w:space="0" w:color="auto"/>
            <w:left w:val="none" w:sz="0" w:space="0" w:color="auto"/>
            <w:bottom w:val="none" w:sz="0" w:space="0" w:color="auto"/>
            <w:right w:val="none" w:sz="0" w:space="0" w:color="auto"/>
          </w:divBdr>
        </w:div>
        <w:div w:id="2075884787">
          <w:marLeft w:val="0"/>
          <w:marRight w:val="0"/>
          <w:marTop w:val="0"/>
          <w:marBottom w:val="0"/>
          <w:divBdr>
            <w:top w:val="none" w:sz="0" w:space="0" w:color="auto"/>
            <w:left w:val="none" w:sz="0" w:space="0" w:color="auto"/>
            <w:bottom w:val="none" w:sz="0" w:space="0" w:color="auto"/>
            <w:right w:val="none" w:sz="0" w:space="0" w:color="auto"/>
          </w:divBdr>
        </w:div>
      </w:divsChild>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899706856">
      <w:bodyDiv w:val="1"/>
      <w:marLeft w:val="0"/>
      <w:marRight w:val="0"/>
      <w:marTop w:val="0"/>
      <w:marBottom w:val="0"/>
      <w:divBdr>
        <w:top w:val="none" w:sz="0" w:space="0" w:color="auto"/>
        <w:left w:val="none" w:sz="0" w:space="0" w:color="auto"/>
        <w:bottom w:val="none" w:sz="0" w:space="0" w:color="auto"/>
        <w:right w:val="none" w:sz="0" w:space="0" w:color="auto"/>
      </w:divBdr>
      <w:divsChild>
        <w:div w:id="415635498">
          <w:marLeft w:val="0"/>
          <w:marRight w:val="0"/>
          <w:marTop w:val="0"/>
          <w:marBottom w:val="0"/>
          <w:divBdr>
            <w:top w:val="none" w:sz="0" w:space="0" w:color="auto"/>
            <w:left w:val="none" w:sz="0" w:space="0" w:color="auto"/>
            <w:bottom w:val="none" w:sz="0" w:space="0" w:color="auto"/>
            <w:right w:val="none" w:sz="0" w:space="0" w:color="auto"/>
          </w:divBdr>
        </w:div>
        <w:div w:id="544679010">
          <w:marLeft w:val="0"/>
          <w:marRight w:val="0"/>
          <w:marTop w:val="0"/>
          <w:marBottom w:val="0"/>
          <w:divBdr>
            <w:top w:val="none" w:sz="0" w:space="0" w:color="auto"/>
            <w:left w:val="none" w:sz="0" w:space="0" w:color="auto"/>
            <w:bottom w:val="none" w:sz="0" w:space="0" w:color="auto"/>
            <w:right w:val="none" w:sz="0" w:space="0" w:color="auto"/>
          </w:divBdr>
        </w:div>
        <w:div w:id="1383095809">
          <w:marLeft w:val="0"/>
          <w:marRight w:val="0"/>
          <w:marTop w:val="0"/>
          <w:marBottom w:val="0"/>
          <w:divBdr>
            <w:top w:val="none" w:sz="0" w:space="0" w:color="auto"/>
            <w:left w:val="none" w:sz="0" w:space="0" w:color="auto"/>
            <w:bottom w:val="none" w:sz="0" w:space="0" w:color="auto"/>
            <w:right w:val="none" w:sz="0" w:space="0" w:color="auto"/>
          </w:divBdr>
        </w:div>
        <w:div w:id="1642006027">
          <w:marLeft w:val="0"/>
          <w:marRight w:val="0"/>
          <w:marTop w:val="0"/>
          <w:marBottom w:val="0"/>
          <w:divBdr>
            <w:top w:val="none" w:sz="0" w:space="0" w:color="auto"/>
            <w:left w:val="none" w:sz="0" w:space="0" w:color="auto"/>
            <w:bottom w:val="none" w:sz="0" w:space="0" w:color="auto"/>
            <w:right w:val="none" w:sz="0" w:space="0" w:color="auto"/>
          </w:divBdr>
        </w:div>
        <w:div w:id="1670020259">
          <w:marLeft w:val="0"/>
          <w:marRight w:val="0"/>
          <w:marTop w:val="0"/>
          <w:marBottom w:val="0"/>
          <w:divBdr>
            <w:top w:val="none" w:sz="0" w:space="0" w:color="auto"/>
            <w:left w:val="none" w:sz="0" w:space="0" w:color="auto"/>
            <w:bottom w:val="none" w:sz="0" w:space="0" w:color="auto"/>
            <w:right w:val="none" w:sz="0" w:space="0" w:color="auto"/>
          </w:divBdr>
        </w:div>
      </w:divsChild>
    </w:div>
    <w:div w:id="1902599741">
      <w:bodyDiv w:val="1"/>
      <w:marLeft w:val="0"/>
      <w:marRight w:val="0"/>
      <w:marTop w:val="0"/>
      <w:marBottom w:val="0"/>
      <w:divBdr>
        <w:top w:val="none" w:sz="0" w:space="0" w:color="auto"/>
        <w:left w:val="none" w:sz="0" w:space="0" w:color="auto"/>
        <w:bottom w:val="none" w:sz="0" w:space="0" w:color="auto"/>
        <w:right w:val="none" w:sz="0" w:space="0" w:color="auto"/>
      </w:divBdr>
    </w:div>
    <w:div w:id="1968856551">
      <w:bodyDiv w:val="1"/>
      <w:marLeft w:val="0"/>
      <w:marRight w:val="0"/>
      <w:marTop w:val="0"/>
      <w:marBottom w:val="0"/>
      <w:divBdr>
        <w:top w:val="none" w:sz="0" w:space="0" w:color="auto"/>
        <w:left w:val="none" w:sz="0" w:space="0" w:color="auto"/>
        <w:bottom w:val="none" w:sz="0" w:space="0" w:color="auto"/>
        <w:right w:val="none" w:sz="0" w:space="0" w:color="auto"/>
      </w:divBdr>
    </w:div>
    <w:div w:id="2004432490">
      <w:bodyDiv w:val="1"/>
      <w:marLeft w:val="0"/>
      <w:marRight w:val="0"/>
      <w:marTop w:val="0"/>
      <w:marBottom w:val="0"/>
      <w:divBdr>
        <w:top w:val="none" w:sz="0" w:space="0" w:color="auto"/>
        <w:left w:val="none" w:sz="0" w:space="0" w:color="auto"/>
        <w:bottom w:val="none" w:sz="0" w:space="0" w:color="auto"/>
        <w:right w:val="none" w:sz="0" w:space="0" w:color="auto"/>
      </w:divBdr>
    </w:div>
    <w:div w:id="2004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E76F3-35E3-430D-9FDD-87B89625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29140</Words>
  <Characters>166098</Characters>
  <Application>Microsoft Office Word</Application>
  <DocSecurity>0</DocSecurity>
  <Lines>1384</Lines>
  <Paragraphs>389</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194849</CharactersWithSpaces>
  <SharedDoc>false</SharedDoc>
  <HLinks>
    <vt:vector size="282" baseType="variant">
      <vt:variant>
        <vt:i4>1048632</vt:i4>
      </vt:variant>
      <vt:variant>
        <vt:i4>281</vt:i4>
      </vt:variant>
      <vt:variant>
        <vt:i4>0</vt:i4>
      </vt:variant>
      <vt:variant>
        <vt:i4>5</vt:i4>
      </vt:variant>
      <vt:variant>
        <vt:lpwstr/>
      </vt:variant>
      <vt:variant>
        <vt:lpwstr>_Toc432090741</vt:lpwstr>
      </vt:variant>
      <vt:variant>
        <vt:i4>1048632</vt:i4>
      </vt:variant>
      <vt:variant>
        <vt:i4>275</vt:i4>
      </vt:variant>
      <vt:variant>
        <vt:i4>0</vt:i4>
      </vt:variant>
      <vt:variant>
        <vt:i4>5</vt:i4>
      </vt:variant>
      <vt:variant>
        <vt:lpwstr/>
      </vt:variant>
      <vt:variant>
        <vt:lpwstr>_Toc432090740</vt:lpwstr>
      </vt:variant>
      <vt:variant>
        <vt:i4>1507384</vt:i4>
      </vt:variant>
      <vt:variant>
        <vt:i4>269</vt:i4>
      </vt:variant>
      <vt:variant>
        <vt:i4>0</vt:i4>
      </vt:variant>
      <vt:variant>
        <vt:i4>5</vt:i4>
      </vt:variant>
      <vt:variant>
        <vt:lpwstr/>
      </vt:variant>
      <vt:variant>
        <vt:lpwstr>_Toc432090738</vt:lpwstr>
      </vt:variant>
      <vt:variant>
        <vt:i4>1507384</vt:i4>
      </vt:variant>
      <vt:variant>
        <vt:i4>263</vt:i4>
      </vt:variant>
      <vt:variant>
        <vt:i4>0</vt:i4>
      </vt:variant>
      <vt:variant>
        <vt:i4>5</vt:i4>
      </vt:variant>
      <vt:variant>
        <vt:lpwstr/>
      </vt:variant>
      <vt:variant>
        <vt:lpwstr>_Toc432090736</vt:lpwstr>
      </vt:variant>
      <vt:variant>
        <vt:i4>1507384</vt:i4>
      </vt:variant>
      <vt:variant>
        <vt:i4>257</vt:i4>
      </vt:variant>
      <vt:variant>
        <vt:i4>0</vt:i4>
      </vt:variant>
      <vt:variant>
        <vt:i4>5</vt:i4>
      </vt:variant>
      <vt:variant>
        <vt:lpwstr/>
      </vt:variant>
      <vt:variant>
        <vt:lpwstr>_Toc432090735</vt:lpwstr>
      </vt:variant>
      <vt:variant>
        <vt:i4>1507384</vt:i4>
      </vt:variant>
      <vt:variant>
        <vt:i4>251</vt:i4>
      </vt:variant>
      <vt:variant>
        <vt:i4>0</vt:i4>
      </vt:variant>
      <vt:variant>
        <vt:i4>5</vt:i4>
      </vt:variant>
      <vt:variant>
        <vt:lpwstr/>
      </vt:variant>
      <vt:variant>
        <vt:lpwstr>_Toc432090734</vt:lpwstr>
      </vt:variant>
      <vt:variant>
        <vt:i4>1507384</vt:i4>
      </vt:variant>
      <vt:variant>
        <vt:i4>245</vt:i4>
      </vt:variant>
      <vt:variant>
        <vt:i4>0</vt:i4>
      </vt:variant>
      <vt:variant>
        <vt:i4>5</vt:i4>
      </vt:variant>
      <vt:variant>
        <vt:lpwstr/>
      </vt:variant>
      <vt:variant>
        <vt:lpwstr>_Toc432090733</vt:lpwstr>
      </vt:variant>
      <vt:variant>
        <vt:i4>1507384</vt:i4>
      </vt:variant>
      <vt:variant>
        <vt:i4>239</vt:i4>
      </vt:variant>
      <vt:variant>
        <vt:i4>0</vt:i4>
      </vt:variant>
      <vt:variant>
        <vt:i4>5</vt:i4>
      </vt:variant>
      <vt:variant>
        <vt:lpwstr/>
      </vt:variant>
      <vt:variant>
        <vt:lpwstr>_Toc432090732</vt:lpwstr>
      </vt:variant>
      <vt:variant>
        <vt:i4>1507384</vt:i4>
      </vt:variant>
      <vt:variant>
        <vt:i4>233</vt:i4>
      </vt:variant>
      <vt:variant>
        <vt:i4>0</vt:i4>
      </vt:variant>
      <vt:variant>
        <vt:i4>5</vt:i4>
      </vt:variant>
      <vt:variant>
        <vt:lpwstr/>
      </vt:variant>
      <vt:variant>
        <vt:lpwstr>_Toc432090731</vt:lpwstr>
      </vt:variant>
      <vt:variant>
        <vt:i4>1507384</vt:i4>
      </vt:variant>
      <vt:variant>
        <vt:i4>227</vt:i4>
      </vt:variant>
      <vt:variant>
        <vt:i4>0</vt:i4>
      </vt:variant>
      <vt:variant>
        <vt:i4>5</vt:i4>
      </vt:variant>
      <vt:variant>
        <vt:lpwstr/>
      </vt:variant>
      <vt:variant>
        <vt:lpwstr>_Toc432090730</vt:lpwstr>
      </vt:variant>
      <vt:variant>
        <vt:i4>1441848</vt:i4>
      </vt:variant>
      <vt:variant>
        <vt:i4>221</vt:i4>
      </vt:variant>
      <vt:variant>
        <vt:i4>0</vt:i4>
      </vt:variant>
      <vt:variant>
        <vt:i4>5</vt:i4>
      </vt:variant>
      <vt:variant>
        <vt:lpwstr/>
      </vt:variant>
      <vt:variant>
        <vt:lpwstr>_Toc432090729</vt:lpwstr>
      </vt:variant>
      <vt:variant>
        <vt:i4>1441848</vt:i4>
      </vt:variant>
      <vt:variant>
        <vt:i4>215</vt:i4>
      </vt:variant>
      <vt:variant>
        <vt:i4>0</vt:i4>
      </vt:variant>
      <vt:variant>
        <vt:i4>5</vt:i4>
      </vt:variant>
      <vt:variant>
        <vt:lpwstr/>
      </vt:variant>
      <vt:variant>
        <vt:lpwstr>_Toc432090728</vt:lpwstr>
      </vt:variant>
      <vt:variant>
        <vt:i4>1441848</vt:i4>
      </vt:variant>
      <vt:variant>
        <vt:i4>209</vt:i4>
      </vt:variant>
      <vt:variant>
        <vt:i4>0</vt:i4>
      </vt:variant>
      <vt:variant>
        <vt:i4>5</vt:i4>
      </vt:variant>
      <vt:variant>
        <vt:lpwstr/>
      </vt:variant>
      <vt:variant>
        <vt:lpwstr>_Toc432090727</vt:lpwstr>
      </vt:variant>
      <vt:variant>
        <vt:i4>1441848</vt:i4>
      </vt:variant>
      <vt:variant>
        <vt:i4>203</vt:i4>
      </vt:variant>
      <vt:variant>
        <vt:i4>0</vt:i4>
      </vt:variant>
      <vt:variant>
        <vt:i4>5</vt:i4>
      </vt:variant>
      <vt:variant>
        <vt:lpwstr/>
      </vt:variant>
      <vt:variant>
        <vt:lpwstr>_Toc432090726</vt:lpwstr>
      </vt:variant>
      <vt:variant>
        <vt:i4>1441848</vt:i4>
      </vt:variant>
      <vt:variant>
        <vt:i4>197</vt:i4>
      </vt:variant>
      <vt:variant>
        <vt:i4>0</vt:i4>
      </vt:variant>
      <vt:variant>
        <vt:i4>5</vt:i4>
      </vt:variant>
      <vt:variant>
        <vt:lpwstr/>
      </vt:variant>
      <vt:variant>
        <vt:lpwstr>_Toc432090725</vt:lpwstr>
      </vt:variant>
      <vt:variant>
        <vt:i4>1441848</vt:i4>
      </vt:variant>
      <vt:variant>
        <vt:i4>191</vt:i4>
      </vt:variant>
      <vt:variant>
        <vt:i4>0</vt:i4>
      </vt:variant>
      <vt:variant>
        <vt:i4>5</vt:i4>
      </vt:variant>
      <vt:variant>
        <vt:lpwstr/>
      </vt:variant>
      <vt:variant>
        <vt:lpwstr>_Toc432090724</vt:lpwstr>
      </vt:variant>
      <vt:variant>
        <vt:i4>1441848</vt:i4>
      </vt:variant>
      <vt:variant>
        <vt:i4>185</vt:i4>
      </vt:variant>
      <vt:variant>
        <vt:i4>0</vt:i4>
      </vt:variant>
      <vt:variant>
        <vt:i4>5</vt:i4>
      </vt:variant>
      <vt:variant>
        <vt:lpwstr/>
      </vt:variant>
      <vt:variant>
        <vt:lpwstr>_Toc432090723</vt:lpwstr>
      </vt:variant>
      <vt:variant>
        <vt:i4>1441848</vt:i4>
      </vt:variant>
      <vt:variant>
        <vt:i4>179</vt:i4>
      </vt:variant>
      <vt:variant>
        <vt:i4>0</vt:i4>
      </vt:variant>
      <vt:variant>
        <vt:i4>5</vt:i4>
      </vt:variant>
      <vt:variant>
        <vt:lpwstr/>
      </vt:variant>
      <vt:variant>
        <vt:lpwstr>_Toc432090722</vt:lpwstr>
      </vt:variant>
      <vt:variant>
        <vt:i4>1441848</vt:i4>
      </vt:variant>
      <vt:variant>
        <vt:i4>173</vt:i4>
      </vt:variant>
      <vt:variant>
        <vt:i4>0</vt:i4>
      </vt:variant>
      <vt:variant>
        <vt:i4>5</vt:i4>
      </vt:variant>
      <vt:variant>
        <vt:lpwstr/>
      </vt:variant>
      <vt:variant>
        <vt:lpwstr>_Toc432090721</vt:lpwstr>
      </vt:variant>
      <vt:variant>
        <vt:i4>1441848</vt:i4>
      </vt:variant>
      <vt:variant>
        <vt:i4>167</vt:i4>
      </vt:variant>
      <vt:variant>
        <vt:i4>0</vt:i4>
      </vt:variant>
      <vt:variant>
        <vt:i4>5</vt:i4>
      </vt:variant>
      <vt:variant>
        <vt:lpwstr/>
      </vt:variant>
      <vt:variant>
        <vt:lpwstr>_Toc432090720</vt:lpwstr>
      </vt:variant>
      <vt:variant>
        <vt:i4>1376312</vt:i4>
      </vt:variant>
      <vt:variant>
        <vt:i4>161</vt:i4>
      </vt:variant>
      <vt:variant>
        <vt:i4>0</vt:i4>
      </vt:variant>
      <vt:variant>
        <vt:i4>5</vt:i4>
      </vt:variant>
      <vt:variant>
        <vt:lpwstr/>
      </vt:variant>
      <vt:variant>
        <vt:lpwstr>_Toc432090719</vt:lpwstr>
      </vt:variant>
      <vt:variant>
        <vt:i4>1376312</vt:i4>
      </vt:variant>
      <vt:variant>
        <vt:i4>155</vt:i4>
      </vt:variant>
      <vt:variant>
        <vt:i4>0</vt:i4>
      </vt:variant>
      <vt:variant>
        <vt:i4>5</vt:i4>
      </vt:variant>
      <vt:variant>
        <vt:lpwstr/>
      </vt:variant>
      <vt:variant>
        <vt:lpwstr>_Toc432090718</vt:lpwstr>
      </vt:variant>
      <vt:variant>
        <vt:i4>1376312</vt:i4>
      </vt:variant>
      <vt:variant>
        <vt:i4>149</vt:i4>
      </vt:variant>
      <vt:variant>
        <vt:i4>0</vt:i4>
      </vt:variant>
      <vt:variant>
        <vt:i4>5</vt:i4>
      </vt:variant>
      <vt:variant>
        <vt:lpwstr/>
      </vt:variant>
      <vt:variant>
        <vt:lpwstr>_Toc432090717</vt:lpwstr>
      </vt:variant>
      <vt:variant>
        <vt:i4>1376312</vt:i4>
      </vt:variant>
      <vt:variant>
        <vt:i4>143</vt:i4>
      </vt:variant>
      <vt:variant>
        <vt:i4>0</vt:i4>
      </vt:variant>
      <vt:variant>
        <vt:i4>5</vt:i4>
      </vt:variant>
      <vt:variant>
        <vt:lpwstr/>
      </vt:variant>
      <vt:variant>
        <vt:lpwstr>_Toc432090716</vt:lpwstr>
      </vt:variant>
      <vt:variant>
        <vt:i4>1376312</vt:i4>
      </vt:variant>
      <vt:variant>
        <vt:i4>137</vt:i4>
      </vt:variant>
      <vt:variant>
        <vt:i4>0</vt:i4>
      </vt:variant>
      <vt:variant>
        <vt:i4>5</vt:i4>
      </vt:variant>
      <vt:variant>
        <vt:lpwstr/>
      </vt:variant>
      <vt:variant>
        <vt:lpwstr>_Toc432090715</vt:lpwstr>
      </vt:variant>
      <vt:variant>
        <vt:i4>1376312</vt:i4>
      </vt:variant>
      <vt:variant>
        <vt:i4>131</vt:i4>
      </vt:variant>
      <vt:variant>
        <vt:i4>0</vt:i4>
      </vt:variant>
      <vt:variant>
        <vt:i4>5</vt:i4>
      </vt:variant>
      <vt:variant>
        <vt:lpwstr/>
      </vt:variant>
      <vt:variant>
        <vt:lpwstr>_Toc432090714</vt:lpwstr>
      </vt:variant>
      <vt:variant>
        <vt:i4>1376312</vt:i4>
      </vt:variant>
      <vt:variant>
        <vt:i4>125</vt:i4>
      </vt:variant>
      <vt:variant>
        <vt:i4>0</vt:i4>
      </vt:variant>
      <vt:variant>
        <vt:i4>5</vt:i4>
      </vt:variant>
      <vt:variant>
        <vt:lpwstr/>
      </vt:variant>
      <vt:variant>
        <vt:lpwstr>_Toc432090713</vt:lpwstr>
      </vt:variant>
      <vt:variant>
        <vt:i4>1376312</vt:i4>
      </vt:variant>
      <vt:variant>
        <vt:i4>119</vt:i4>
      </vt:variant>
      <vt:variant>
        <vt:i4>0</vt:i4>
      </vt:variant>
      <vt:variant>
        <vt:i4>5</vt:i4>
      </vt:variant>
      <vt:variant>
        <vt:lpwstr/>
      </vt:variant>
      <vt:variant>
        <vt:lpwstr>_Toc432090712</vt:lpwstr>
      </vt:variant>
      <vt:variant>
        <vt:i4>1376312</vt:i4>
      </vt:variant>
      <vt:variant>
        <vt:i4>113</vt:i4>
      </vt:variant>
      <vt:variant>
        <vt:i4>0</vt:i4>
      </vt:variant>
      <vt:variant>
        <vt:i4>5</vt:i4>
      </vt:variant>
      <vt:variant>
        <vt:lpwstr/>
      </vt:variant>
      <vt:variant>
        <vt:lpwstr>_Toc432090711</vt:lpwstr>
      </vt:variant>
      <vt:variant>
        <vt:i4>1376312</vt:i4>
      </vt:variant>
      <vt:variant>
        <vt:i4>107</vt:i4>
      </vt:variant>
      <vt:variant>
        <vt:i4>0</vt:i4>
      </vt:variant>
      <vt:variant>
        <vt:i4>5</vt:i4>
      </vt:variant>
      <vt:variant>
        <vt:lpwstr/>
      </vt:variant>
      <vt:variant>
        <vt:lpwstr>_Toc432090710</vt:lpwstr>
      </vt:variant>
      <vt:variant>
        <vt:i4>1310776</vt:i4>
      </vt:variant>
      <vt:variant>
        <vt:i4>101</vt:i4>
      </vt:variant>
      <vt:variant>
        <vt:i4>0</vt:i4>
      </vt:variant>
      <vt:variant>
        <vt:i4>5</vt:i4>
      </vt:variant>
      <vt:variant>
        <vt:lpwstr/>
      </vt:variant>
      <vt:variant>
        <vt:lpwstr>_Toc432090709</vt:lpwstr>
      </vt:variant>
      <vt:variant>
        <vt:i4>1310776</vt:i4>
      </vt:variant>
      <vt:variant>
        <vt:i4>95</vt:i4>
      </vt:variant>
      <vt:variant>
        <vt:i4>0</vt:i4>
      </vt:variant>
      <vt:variant>
        <vt:i4>5</vt:i4>
      </vt:variant>
      <vt:variant>
        <vt:lpwstr/>
      </vt:variant>
      <vt:variant>
        <vt:lpwstr>_Toc432090708</vt:lpwstr>
      </vt:variant>
      <vt:variant>
        <vt:i4>1310776</vt:i4>
      </vt:variant>
      <vt:variant>
        <vt:i4>89</vt:i4>
      </vt:variant>
      <vt:variant>
        <vt:i4>0</vt:i4>
      </vt:variant>
      <vt:variant>
        <vt:i4>5</vt:i4>
      </vt:variant>
      <vt:variant>
        <vt:lpwstr/>
      </vt:variant>
      <vt:variant>
        <vt:lpwstr>_Toc432090707</vt:lpwstr>
      </vt:variant>
      <vt:variant>
        <vt:i4>1310776</vt:i4>
      </vt:variant>
      <vt:variant>
        <vt:i4>83</vt:i4>
      </vt:variant>
      <vt:variant>
        <vt:i4>0</vt:i4>
      </vt:variant>
      <vt:variant>
        <vt:i4>5</vt:i4>
      </vt:variant>
      <vt:variant>
        <vt:lpwstr/>
      </vt:variant>
      <vt:variant>
        <vt:lpwstr>_Toc432090706</vt:lpwstr>
      </vt:variant>
      <vt:variant>
        <vt:i4>1310776</vt:i4>
      </vt:variant>
      <vt:variant>
        <vt:i4>77</vt:i4>
      </vt:variant>
      <vt:variant>
        <vt:i4>0</vt:i4>
      </vt:variant>
      <vt:variant>
        <vt:i4>5</vt:i4>
      </vt:variant>
      <vt:variant>
        <vt:lpwstr/>
      </vt:variant>
      <vt:variant>
        <vt:lpwstr>_Toc432090705</vt:lpwstr>
      </vt:variant>
      <vt:variant>
        <vt:i4>1310776</vt:i4>
      </vt:variant>
      <vt:variant>
        <vt:i4>71</vt:i4>
      </vt:variant>
      <vt:variant>
        <vt:i4>0</vt:i4>
      </vt:variant>
      <vt:variant>
        <vt:i4>5</vt:i4>
      </vt:variant>
      <vt:variant>
        <vt:lpwstr/>
      </vt:variant>
      <vt:variant>
        <vt:lpwstr>_Toc432090704</vt:lpwstr>
      </vt:variant>
      <vt:variant>
        <vt:i4>1310776</vt:i4>
      </vt:variant>
      <vt:variant>
        <vt:i4>65</vt:i4>
      </vt:variant>
      <vt:variant>
        <vt:i4>0</vt:i4>
      </vt:variant>
      <vt:variant>
        <vt:i4>5</vt:i4>
      </vt:variant>
      <vt:variant>
        <vt:lpwstr/>
      </vt:variant>
      <vt:variant>
        <vt:lpwstr>_Toc432090703</vt:lpwstr>
      </vt:variant>
      <vt:variant>
        <vt:i4>1310776</vt:i4>
      </vt:variant>
      <vt:variant>
        <vt:i4>59</vt:i4>
      </vt:variant>
      <vt:variant>
        <vt:i4>0</vt:i4>
      </vt:variant>
      <vt:variant>
        <vt:i4>5</vt:i4>
      </vt:variant>
      <vt:variant>
        <vt:lpwstr/>
      </vt:variant>
      <vt:variant>
        <vt:lpwstr>_Toc432090702</vt:lpwstr>
      </vt:variant>
      <vt:variant>
        <vt:i4>1310776</vt:i4>
      </vt:variant>
      <vt:variant>
        <vt:i4>53</vt:i4>
      </vt:variant>
      <vt:variant>
        <vt:i4>0</vt:i4>
      </vt:variant>
      <vt:variant>
        <vt:i4>5</vt:i4>
      </vt:variant>
      <vt:variant>
        <vt:lpwstr/>
      </vt:variant>
      <vt:variant>
        <vt:lpwstr>_Toc432090701</vt:lpwstr>
      </vt:variant>
      <vt:variant>
        <vt:i4>1310776</vt:i4>
      </vt:variant>
      <vt:variant>
        <vt:i4>47</vt:i4>
      </vt:variant>
      <vt:variant>
        <vt:i4>0</vt:i4>
      </vt:variant>
      <vt:variant>
        <vt:i4>5</vt:i4>
      </vt:variant>
      <vt:variant>
        <vt:lpwstr/>
      </vt:variant>
      <vt:variant>
        <vt:lpwstr>_Toc432090700</vt:lpwstr>
      </vt:variant>
      <vt:variant>
        <vt:i4>1900601</vt:i4>
      </vt:variant>
      <vt:variant>
        <vt:i4>41</vt:i4>
      </vt:variant>
      <vt:variant>
        <vt:i4>0</vt:i4>
      </vt:variant>
      <vt:variant>
        <vt:i4>5</vt:i4>
      </vt:variant>
      <vt:variant>
        <vt:lpwstr/>
      </vt:variant>
      <vt:variant>
        <vt:lpwstr>_Toc432090699</vt:lpwstr>
      </vt:variant>
      <vt:variant>
        <vt:i4>1900601</vt:i4>
      </vt:variant>
      <vt:variant>
        <vt:i4>35</vt:i4>
      </vt:variant>
      <vt:variant>
        <vt:i4>0</vt:i4>
      </vt:variant>
      <vt:variant>
        <vt:i4>5</vt:i4>
      </vt:variant>
      <vt:variant>
        <vt:lpwstr/>
      </vt:variant>
      <vt:variant>
        <vt:lpwstr>_Toc432090698</vt:lpwstr>
      </vt:variant>
      <vt:variant>
        <vt:i4>1900601</vt:i4>
      </vt:variant>
      <vt:variant>
        <vt:i4>29</vt:i4>
      </vt:variant>
      <vt:variant>
        <vt:i4>0</vt:i4>
      </vt:variant>
      <vt:variant>
        <vt:i4>5</vt:i4>
      </vt:variant>
      <vt:variant>
        <vt:lpwstr/>
      </vt:variant>
      <vt:variant>
        <vt:lpwstr>_Toc432090697</vt:lpwstr>
      </vt:variant>
      <vt:variant>
        <vt:i4>1900601</vt:i4>
      </vt:variant>
      <vt:variant>
        <vt:i4>23</vt:i4>
      </vt:variant>
      <vt:variant>
        <vt:i4>0</vt:i4>
      </vt:variant>
      <vt:variant>
        <vt:i4>5</vt:i4>
      </vt:variant>
      <vt:variant>
        <vt:lpwstr/>
      </vt:variant>
      <vt:variant>
        <vt:lpwstr>_Toc432090696</vt:lpwstr>
      </vt:variant>
      <vt:variant>
        <vt:i4>1900601</vt:i4>
      </vt:variant>
      <vt:variant>
        <vt:i4>17</vt:i4>
      </vt:variant>
      <vt:variant>
        <vt:i4>0</vt:i4>
      </vt:variant>
      <vt:variant>
        <vt:i4>5</vt:i4>
      </vt:variant>
      <vt:variant>
        <vt:lpwstr/>
      </vt:variant>
      <vt:variant>
        <vt:lpwstr>_Toc432090695</vt:lpwstr>
      </vt:variant>
      <vt:variant>
        <vt:i4>1900601</vt:i4>
      </vt:variant>
      <vt:variant>
        <vt:i4>11</vt:i4>
      </vt:variant>
      <vt:variant>
        <vt:i4>0</vt:i4>
      </vt:variant>
      <vt:variant>
        <vt:i4>5</vt:i4>
      </vt:variant>
      <vt:variant>
        <vt:lpwstr/>
      </vt:variant>
      <vt:variant>
        <vt:lpwstr>_Toc432090694</vt:lpwstr>
      </vt:variant>
      <vt:variant>
        <vt:i4>1900601</vt:i4>
      </vt:variant>
      <vt:variant>
        <vt:i4>5</vt:i4>
      </vt:variant>
      <vt:variant>
        <vt:i4>0</vt:i4>
      </vt:variant>
      <vt:variant>
        <vt:i4>5</vt:i4>
      </vt:variant>
      <vt:variant>
        <vt:lpwstr/>
      </vt:variant>
      <vt:variant>
        <vt:lpwstr>_Toc432090693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CareV</dc:creator>
  <cp:lastModifiedBy>Ammassari Paolo</cp:lastModifiedBy>
  <cp:revision>2</cp:revision>
  <cp:lastPrinted>2015-06-18T12:25:00Z</cp:lastPrinted>
  <dcterms:created xsi:type="dcterms:W3CDTF">2015-12-04T10:27:00Z</dcterms:created>
  <dcterms:modified xsi:type="dcterms:W3CDTF">2015-12-04T10:27:00Z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